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FF3E00"/>
          <w:sz w:val="88"/>
          <w:szCs w:val="88"/>
        </w:rPr>
        <w:t xml:space="preserve">Aurelian Manufacturing</w:t>
      </w:r>
    </w:p>
    <w:p>
      <w:pPr>
        <w:spacing w:after="400"/>
      </w:pPr>
      <w:r>
        <w:t xml:space="preserve"/>
      </w:r>
    </w:p>
    <w:p>
      <w:pPr>
        <w:spacing w:after="100"/>
        <w:jc w:val="center"/>
      </w:pPr>
      <w:r>
        <w:rPr>
          <w:b/>
          <w:bCs/>
          <w:color w:val="333333"/>
          <w:sz w:val="48"/>
          <w:szCs w:val="48"/>
        </w:rPr>
        <w:t xml:space="preserve">Monthly Cash Flow Projections</w:t>
      </w:r>
    </w:p>
    <w:p>
      <w:pPr>
        <w:spacing w:after="600"/>
        <w:jc w:val="center"/>
      </w:pPr>
      <w:r>
        <w:rPr>
          <w:color w:val="333333"/>
          <w:sz w:val="32"/>
          <w:szCs w:val="32"/>
        </w:rPr>
        <w:t xml:space="preserve">Year 1 &amp; Year 2 (2027–2028)</w:t>
      </w:r>
    </w:p>
    <w:p>
      <w:pPr>
        <w:spacing w:after="800"/>
      </w:pPr>
      <w:r>
        <w:t xml:space="preserve"/>
      </w:r>
    </w:p>
    <w:p>
      <w:pPr>
        <w:spacing w:after="0"/>
        <w:jc w:val="center"/>
      </w:pPr>
      <w:r>
        <w:rPr>
          <w:color w:val="999999"/>
          <w:sz w:val="22"/>
          <w:szCs w:val="22"/>
        </w:rPr>
        <w:t xml:space="preserve">February 2026 | Confidential</w:t>
      </w:r>
    </w:p>
    <w:p>
      <w:r>
        <w:br w:type="page"/>
      </w:r>
    </w:p>
    <w:p>
      <w:pPr>
        <w:pStyle w:val="Heading1"/>
        <w:spacing w:before="240" w:after="120"/>
      </w:pPr>
      <w:r>
        <w:rPr>
          <w:b/>
          <w:bCs/>
          <w:color w:val="FF3E00"/>
          <w:sz w:val="28"/>
          <w:szCs w:val="28"/>
        </w:rPr>
        <w:t xml:space="preserve">1. Key Assumptions</w:t>
      </w:r>
    </w:p>
    <w:p>
      <w:pPr>
        <w:spacing w:after="140"/>
      </w:pPr>
      <w:r>
        <w:rPr>
          <w:color w:val="1A1A1A"/>
          <w:sz w:val="21"/>
          <w:szCs w:val="21"/>
        </w:rPr>
        <w:t xml:space="preserve">This document covers the first 24 months of Aurelian Manufacturing's operations, from the Seed closing in Q1–Q2 2027 through the end of 2028. All financial values are derived from the Financial Model (FM8) and the Economic Tables REV6.</w:t>
      </w:r>
    </w:p>
    <w:p>
      <w:pPr>
        <w:pStyle w:val="Heading2"/>
        <w:spacing w:before="200" w:after="100"/>
      </w:pPr>
      <w:r>
        <w:rPr>
          <w:b/>
          <w:bCs/>
          <w:color w:val="333333"/>
          <w:sz w:val="24"/>
          <w:szCs w:val="24"/>
        </w:rPr>
        <w:t xml:space="preserve">1.1 Key Parameters</w:t>
      </w:r>
    </w:p>
    <w:p>
      <w:pPr>
        <w:spacing w:after="140"/>
      </w:pPr>
      <w:r>
        <w:rPr>
          <w:color w:val="1A1A1A"/>
          <w:sz w:val="21"/>
          <w:szCs w:val="21"/>
        </w:rPr>
        <w:t xml:space="preserve">The following table summarizes the critical operational and financial parameters for Year 1 (2027) and Year 2 (2028):</w:t>
      </w:r>
    </w:p>
    <w:tbl>
      <w:tblPr>
        <w:tblW w:type="dxa" w:w="9506"/>
        <w:tblBorders>
          <w:top w:val="single" w:color="CCCCCC" w:sz="1"/>
          <w:left w:val="single" w:color="CCCCCC" w:sz="1"/>
          <w:bottom w:val="single" w:color="CCCCCC" w:sz="1"/>
          <w:right w:val="single" w:color="CCCCCC" w:sz="1"/>
          <w:insideH w:val="single" w:color="CCCCCC" w:sz="1"/>
          <w:insideV w:val="single" w:color="CCCCCC" w:sz="1"/>
        </w:tblBorders>
      </w:tblPr>
      <w:tblGrid>
        <w:gridCol w:w="3168"/>
        <w:gridCol w:w="3168"/>
        <w:gridCol w:w="3168"/>
      </w:tblGrid>
      <w:tr>
        <w:tc>
          <w:tcPr>
            <w:tcW w:type="dxa" w:w="3168"/>
            <w:shd w:fill="FF3E00" w:val="clear"/>
            <w:tcMar>
              <w:top w:type="dxa" w:w="80"/>
              <w:left w:type="dxa" w:w="120"/>
              <w:bottom w:type="dxa" w:w="80"/>
              <w:right w:type="dxa" w:w="120"/>
            </w:tcMar>
          </w:tcPr>
          <w:p>
            <w:pPr>
              <w:jc w:val="center"/>
            </w:pPr>
            <w:r>
              <w:rPr>
                <w:b/>
                <w:bCs/>
                <w:color w:val="FFFFFF"/>
                <w:sz w:val="20"/>
                <w:szCs w:val="20"/>
              </w:rPr>
              <w:t xml:space="preserve">Parameter</w:t>
            </w:r>
          </w:p>
        </w:tc>
        <w:tc>
          <w:tcPr>
            <w:tcW w:type="dxa" w:w="3168"/>
            <w:shd w:fill="FF3E00" w:val="clear"/>
            <w:tcMar>
              <w:top w:type="dxa" w:w="80"/>
              <w:left w:type="dxa" w:w="120"/>
              <w:bottom w:type="dxa" w:w="80"/>
              <w:right w:type="dxa" w:w="120"/>
            </w:tcMar>
          </w:tcPr>
          <w:p>
            <w:pPr>
              <w:jc w:val="center"/>
            </w:pPr>
            <w:r>
              <w:rPr>
                <w:b/>
                <w:bCs/>
                <w:color w:val="FFFFFF"/>
                <w:sz w:val="20"/>
                <w:szCs w:val="20"/>
              </w:rPr>
              <w:t xml:space="preserve">Year 1 (2027)</w:t>
            </w:r>
          </w:p>
        </w:tc>
        <w:tc>
          <w:tcPr>
            <w:tcW w:type="dxa" w:w="3168"/>
            <w:shd w:fill="FF3E00" w:val="clear"/>
            <w:tcMar>
              <w:top w:type="dxa" w:w="80"/>
              <w:left w:type="dxa" w:w="120"/>
              <w:bottom w:type="dxa" w:w="80"/>
              <w:right w:type="dxa" w:w="120"/>
            </w:tcMar>
          </w:tcPr>
          <w:p>
            <w:pPr>
              <w:jc w:val="center"/>
            </w:pPr>
            <w:r>
              <w:rPr>
                <w:b/>
                <w:bCs/>
                <w:color w:val="FFFFFF"/>
                <w:sz w:val="20"/>
                <w:szCs w:val="20"/>
              </w:rPr>
              <w:t xml:space="preserve">Year 2 (2028)</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CNC machines (end of year)</w:t>
            </w:r>
          </w:p>
        </w:tc>
        <w:tc>
          <w:tcPr>
            <w:tcW w:type="dxa" w:w="3168"/>
            <w:tcMar>
              <w:top w:type="dxa" w:w="80"/>
              <w:left w:type="dxa" w:w="120"/>
              <w:bottom w:type="dxa" w:w="80"/>
              <w:right w:type="dxa" w:w="120"/>
            </w:tcMar>
          </w:tcPr>
          <w:p>
            <w:pPr>
              <w:jc w:val="right"/>
            </w:pPr>
            <w:r>
              <w:rPr>
                <w:b w:val="false"/>
                <w:bCs w:val="false"/>
                <w:color w:val="1A1A1A"/>
                <w:sz w:val="20"/>
                <w:szCs w:val="20"/>
              </w:rPr>
              <w:t xml:space="preserve">5</w:t>
            </w:r>
          </w:p>
        </w:tc>
        <w:tc>
          <w:tcPr>
            <w:tcW w:type="dxa" w:w="3168"/>
            <w:tcMar>
              <w:top w:type="dxa" w:w="80"/>
              <w:left w:type="dxa" w:w="120"/>
              <w:bottom w:type="dxa" w:w="80"/>
              <w:right w:type="dxa" w:w="120"/>
            </w:tcMar>
          </w:tcPr>
          <w:p>
            <w:pPr>
              <w:jc w:val="right"/>
            </w:pPr>
            <w:r>
              <w:rPr>
                <w:b w:val="false"/>
                <w:bCs w:val="false"/>
                <w:color w:val="1A1A1A"/>
                <w:sz w:val="20"/>
                <w:szCs w:val="20"/>
              </w:rPr>
              <w:t xml:space="preserve">5</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Average utilization</w:t>
            </w:r>
          </w:p>
        </w:tc>
        <w:tc>
          <w:tcPr>
            <w:tcW w:type="dxa" w:w="3168"/>
            <w:tcMar>
              <w:top w:type="dxa" w:w="80"/>
              <w:left w:type="dxa" w:w="120"/>
              <w:bottom w:type="dxa" w:w="80"/>
              <w:right w:type="dxa" w:w="120"/>
            </w:tcMar>
          </w:tcPr>
          <w:p>
            <w:pPr>
              <w:jc w:val="right"/>
            </w:pPr>
            <w:r>
              <w:rPr>
                <w:b w:val="false"/>
                <w:bCs w:val="false"/>
                <w:color w:val="1A1A1A"/>
                <w:sz w:val="20"/>
                <w:szCs w:val="20"/>
              </w:rPr>
              <w:t xml:space="preserve">20%</w:t>
            </w:r>
          </w:p>
        </w:tc>
        <w:tc>
          <w:tcPr>
            <w:tcW w:type="dxa" w:w="3168"/>
            <w:tcMar>
              <w:top w:type="dxa" w:w="80"/>
              <w:left w:type="dxa" w:w="120"/>
              <w:bottom w:type="dxa" w:w="80"/>
              <w:right w:type="dxa" w:w="120"/>
            </w:tcMar>
          </w:tcPr>
          <w:p>
            <w:pPr>
              <w:jc w:val="right"/>
            </w:pPr>
            <w:r>
              <w:rPr>
                <w:b w:val="false"/>
                <w:bCs w:val="false"/>
                <w:color w:val="1A1A1A"/>
                <w:sz w:val="20"/>
                <w:szCs w:val="20"/>
              </w:rPr>
              <w:t xml:space="preserve">37.5%</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Hourly rate</w:t>
            </w:r>
          </w:p>
        </w:tc>
        <w:tc>
          <w:tcPr>
            <w:tcW w:type="dxa" w:w="3168"/>
            <w:tcMar>
              <w:top w:type="dxa" w:w="80"/>
              <w:left w:type="dxa" w:w="120"/>
              <w:bottom w:type="dxa" w:w="80"/>
              <w:right w:type="dxa" w:w="120"/>
            </w:tcMar>
          </w:tcPr>
          <w:p>
            <w:pPr>
              <w:jc w:val="right"/>
            </w:pPr>
            <w:r>
              <w:rPr>
                <w:b w:val="false"/>
                <w:bCs w:val="false"/>
                <w:color w:val="1A1A1A"/>
                <w:sz w:val="20"/>
                <w:szCs w:val="20"/>
              </w:rPr>
              <w:t xml:space="preserve">3,000 NOK</w:t>
            </w:r>
          </w:p>
        </w:tc>
        <w:tc>
          <w:tcPr>
            <w:tcW w:type="dxa" w:w="3168"/>
            <w:tcMar>
              <w:top w:type="dxa" w:w="80"/>
              <w:left w:type="dxa" w:w="120"/>
              <w:bottom w:type="dxa" w:w="80"/>
              <w:right w:type="dxa" w:w="120"/>
            </w:tcMar>
          </w:tcPr>
          <w:p>
            <w:pPr>
              <w:jc w:val="right"/>
            </w:pPr>
            <w:r>
              <w:rPr>
                <w:b w:val="false"/>
                <w:bCs w:val="false"/>
                <w:color w:val="1A1A1A"/>
                <w:sz w:val="20"/>
                <w:szCs w:val="20"/>
              </w:rPr>
              <w:t xml:space="preserve">3,000 NOK</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Operational FTEs</w:t>
            </w:r>
          </w:p>
        </w:tc>
        <w:tc>
          <w:tcPr>
            <w:tcW w:type="dxa" w:w="3168"/>
            <w:tcMar>
              <w:top w:type="dxa" w:w="80"/>
              <w:left w:type="dxa" w:w="120"/>
              <w:bottom w:type="dxa" w:w="80"/>
              <w:right w:type="dxa" w:w="120"/>
            </w:tcMar>
          </w:tcPr>
          <w:p>
            <w:pPr>
              <w:jc w:val="right"/>
            </w:pPr>
            <w:r>
              <w:rPr>
                <w:b w:val="false"/>
                <w:bCs w:val="false"/>
                <w:color w:val="1A1A1A"/>
                <w:sz w:val="20"/>
                <w:szCs w:val="20"/>
              </w:rPr>
              <w:t xml:space="preserve">4→6</w:t>
            </w:r>
          </w:p>
        </w:tc>
        <w:tc>
          <w:tcPr>
            <w:tcW w:type="dxa" w:w="3168"/>
            <w:tcMar>
              <w:top w:type="dxa" w:w="80"/>
              <w:left w:type="dxa" w:w="120"/>
              <w:bottom w:type="dxa" w:w="80"/>
              <w:right w:type="dxa" w:w="120"/>
            </w:tcMar>
          </w:tcPr>
          <w:p>
            <w:pPr>
              <w:jc w:val="right"/>
            </w:pPr>
            <w:r>
              <w:rPr>
                <w:b w:val="false"/>
                <w:bCs w:val="false"/>
                <w:color w:val="1A1A1A"/>
                <w:sz w:val="20"/>
                <w:szCs w:val="20"/>
              </w:rPr>
              <w:t xml:space="preserve">6</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Admin FTEs</w:t>
            </w:r>
          </w:p>
        </w:tc>
        <w:tc>
          <w:tcPr>
            <w:tcW w:type="dxa" w:w="3168"/>
            <w:tcMar>
              <w:top w:type="dxa" w:w="80"/>
              <w:left w:type="dxa" w:w="120"/>
              <w:bottom w:type="dxa" w:w="80"/>
              <w:right w:type="dxa" w:w="120"/>
            </w:tcMar>
          </w:tcPr>
          <w:p>
            <w:pPr>
              <w:jc w:val="right"/>
            </w:pPr>
            <w:r>
              <w:rPr>
                <w:b w:val="false"/>
                <w:bCs w:val="false"/>
                <w:color w:val="1A1A1A"/>
                <w:sz w:val="20"/>
                <w:szCs w:val="20"/>
              </w:rPr>
              <w:t xml:space="preserve">4</w:t>
            </w:r>
          </w:p>
        </w:tc>
        <w:tc>
          <w:tcPr>
            <w:tcW w:type="dxa" w:w="3168"/>
            <w:tcMar>
              <w:top w:type="dxa" w:w="80"/>
              <w:left w:type="dxa" w:w="120"/>
              <w:bottom w:type="dxa" w:w="80"/>
              <w:right w:type="dxa" w:w="120"/>
            </w:tcMar>
          </w:tcPr>
          <w:p>
            <w:pPr>
              <w:jc w:val="right"/>
            </w:pPr>
            <w:r>
              <w:rPr>
                <w:b w:val="false"/>
                <w:bCs w:val="false"/>
                <w:color w:val="1A1A1A"/>
                <w:sz w:val="20"/>
                <w:szCs w:val="20"/>
              </w:rPr>
              <w:t xml:space="preserve">4</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Variable cost %</w:t>
            </w:r>
          </w:p>
        </w:tc>
        <w:tc>
          <w:tcPr>
            <w:tcW w:type="dxa" w:w="3168"/>
            <w:tcMar>
              <w:top w:type="dxa" w:w="80"/>
              <w:left w:type="dxa" w:w="120"/>
              <w:bottom w:type="dxa" w:w="80"/>
              <w:right w:type="dxa" w:w="120"/>
            </w:tcMar>
          </w:tcPr>
          <w:p>
            <w:pPr>
              <w:jc w:val="right"/>
            </w:pPr>
            <w:r>
              <w:rPr>
                <w:b w:val="false"/>
                <w:bCs w:val="false"/>
                <w:color w:val="1A1A1A"/>
                <w:sz w:val="20"/>
                <w:szCs w:val="20"/>
              </w:rPr>
              <w:t xml:space="preserve">13%</w:t>
            </w:r>
          </w:p>
        </w:tc>
        <w:tc>
          <w:tcPr>
            <w:tcW w:type="dxa" w:w="3168"/>
            <w:tcMar>
              <w:top w:type="dxa" w:w="80"/>
              <w:left w:type="dxa" w:w="120"/>
              <w:bottom w:type="dxa" w:w="80"/>
              <w:right w:type="dxa" w:w="120"/>
            </w:tcMar>
          </w:tcPr>
          <w:p>
            <w:pPr>
              <w:jc w:val="right"/>
            </w:pPr>
            <w:r>
              <w:rPr>
                <w:b w:val="false"/>
                <w:bCs w:val="false"/>
                <w:color w:val="1A1A1A"/>
                <w:sz w:val="20"/>
                <w:szCs w:val="20"/>
              </w:rPr>
              <w:t xml:space="preserve">13%</w:t>
            </w:r>
          </w:p>
        </w:tc>
      </w:tr>
      <w:tr>
        <w:tc>
          <w:tcPr>
            <w:tcW w:type="dxa" w:w="3168"/>
            <w:tcMar>
              <w:top w:type="dxa" w:w="80"/>
              <w:left w:type="dxa" w:w="120"/>
              <w:bottom w:type="dxa" w:w="80"/>
              <w:right w:type="dxa" w:w="120"/>
            </w:tcMar>
          </w:tcPr>
          <w:p>
            <w:pPr>
              <w:jc w:val="left"/>
            </w:pPr>
            <w:r>
              <w:rPr>
                <w:b w:val="false"/>
                <w:bCs w:val="false"/>
                <w:color w:val="1A1A1A"/>
                <w:sz w:val="20"/>
                <w:szCs w:val="20"/>
              </w:rPr>
              <w:t xml:space="preserve">Facility lease (monthly)</w:t>
            </w:r>
          </w:p>
        </w:tc>
        <w:tc>
          <w:tcPr>
            <w:tcW w:type="dxa" w:w="3168"/>
            <w:tcMar>
              <w:top w:type="dxa" w:w="80"/>
              <w:left w:type="dxa" w:w="120"/>
              <w:bottom w:type="dxa" w:w="80"/>
              <w:right w:type="dxa" w:w="120"/>
            </w:tcMar>
          </w:tcPr>
          <w:p>
            <w:pPr>
              <w:jc w:val="right"/>
            </w:pPr>
            <w:r>
              <w:rPr>
                <w:b w:val="false"/>
                <w:bCs w:val="false"/>
                <w:color w:val="1A1A1A"/>
                <w:sz w:val="20"/>
                <w:szCs w:val="20"/>
              </w:rPr>
              <w:t xml:space="preserve">0.43 MNOK</w:t>
            </w:r>
          </w:p>
        </w:tc>
        <w:tc>
          <w:tcPr>
            <w:tcW w:type="dxa" w:w="3168"/>
            <w:tcMar>
              <w:top w:type="dxa" w:w="80"/>
              <w:left w:type="dxa" w:w="120"/>
              <w:bottom w:type="dxa" w:w="80"/>
              <w:right w:type="dxa" w:w="120"/>
            </w:tcMar>
          </w:tcPr>
          <w:p>
            <w:pPr>
              <w:jc w:val="right"/>
            </w:pPr>
            <w:r>
              <w:rPr>
                <w:b w:val="false"/>
                <w:bCs w:val="false"/>
                <w:color w:val="1A1A1A"/>
                <w:sz w:val="20"/>
                <w:szCs w:val="20"/>
              </w:rPr>
              <w:t xml:space="preserve">0.43 MNOK</w:t>
            </w:r>
          </w:p>
        </w:tc>
      </w:tr>
    </w:tbl>
    <w:p>
      <w:pPr>
        <w:spacing w:after="120"/>
      </w:pPr>
      <w:r>
        <w:t xml:space="preserve"/>
      </w:r>
    </w:p>
    <w:p>
      <w:pPr>
        <w:spacing w:after="140"/>
      </w:pPr>
      <w:r>
        <w:rPr>
          <w:color w:val="1A1A1A"/>
          <w:sz w:val="21"/>
          <w:szCs w:val="21"/>
        </w:rPr>
        <w:t xml:space="preserve">CRITICAL NOTE: Year 2 (2028) maintains 5 CNC machines throughout. According to REV6, Serie A Tranche 1 is ordered in Q4 2028 and becomes operational in Q1 2029. No additional machines are deployed during 2028.</w:t>
      </w:r>
    </w:p>
    <w:p>
      <w:r>
        <w:br w:type="page"/>
      </w:r>
    </w:p>
    <w:p>
      <w:pPr>
        <w:pStyle w:val="Heading1"/>
        <w:spacing w:before="240" w:after="120"/>
      </w:pPr>
      <w:r>
        <w:rPr>
          <w:b/>
          <w:bCs/>
          <w:color w:val="FF3E00"/>
          <w:sz w:val="28"/>
          <w:szCs w:val="28"/>
        </w:rPr>
        <w:t xml:space="preserve">2. Year 1 — 2027 (H2 Operations)</w:t>
      </w:r>
    </w:p>
    <w:p>
      <w:pPr>
        <w:spacing w:after="140"/>
      </w:pPr>
      <w:r>
        <w:rPr>
          <w:color w:val="1A1A1A"/>
          <w:sz w:val="21"/>
          <w:szCs w:val="21"/>
        </w:rPr>
        <w:t xml:space="preserve">The Seed closing occurs in Q1–Q2 2027, followed by facility fit-out and equipment procurement. The first CNC machine is delivered in Q3 2027, and revenue commences in August 2027. The company ramps from 0 machines in July to 5 machines by December, with utilization rising from 0% to 20% across the six-month operational period.</w:t>
      </w:r>
    </w:p>
    <w:p>
      <w:pPr>
        <w:pStyle w:val="Heading2"/>
        <w:spacing w:before="200" w:after="100"/>
      </w:pPr>
      <w:r>
        <w:rPr>
          <w:b/>
          <w:bCs/>
          <w:color w:val="333333"/>
          <w:sz w:val="24"/>
          <w:szCs w:val="24"/>
        </w:rPr>
        <w:t xml:space="preserve">2.1 Monthly Cash Flow — H2 2027</w:t>
      </w:r>
    </w:p>
    <w:p>
      <w:pPr>
        <w:spacing w:after="140"/>
      </w:pPr>
      <w:r>
        <w:rPr>
          <w:color w:val="1A1A1A"/>
          <w:sz w:val="21"/>
          <w:szCs w:val="21"/>
        </w:rPr>
        <w:t xml:space="preserve">Revenue Formula: Revenue per month = Active CNC × (8,760 ÷ 12) × utilization% × 3,000 NOK = CNC × 730 × util% × 3,000</w:t>
      </w:r>
    </w:p>
    <w:p>
      <w:pPr>
        <w:spacing w:after="140"/>
      </w:pPr>
      <w:r>
        <w:rPr>
          <w:color w:val="1A1A1A"/>
          <w:sz w:val="21"/>
          <w:szCs w:val="21"/>
        </w:rPr>
        <w:t xml:space="preserve">Example: August (2 CNC, 10% util) = 2 × 730 × 10% × 3,000 = 438,000 = 0.44 MNOK</w:t>
      </w:r>
    </w:p>
    <w:tbl>
      <w:tblPr>
        <w:tblW w:type="dxa" w:w="9506"/>
        <w:tblBorders>
          <w:top w:val="single" w:color="CCCCCC" w:sz="1"/>
          <w:left w:val="single" w:color="CCCCCC" w:sz="1"/>
          <w:bottom w:val="single" w:color="CCCCCC" w:sz="1"/>
          <w:right w:val="single" w:color="CCCCCC" w:sz="1"/>
          <w:insideH w:val="single" w:color="CCCCCC" w:sz="1"/>
          <w:insideV w:val="single" w:color="CCCCCC" w:sz="1"/>
        </w:tblBorders>
      </w:tblPr>
      <w:tblGrid>
        <w:gridCol w:w="1358"/>
        <w:gridCol w:w="1358"/>
        <w:gridCol w:w="1358"/>
        <w:gridCol w:w="1358"/>
        <w:gridCol w:w="1358"/>
        <w:gridCol w:w="1358"/>
        <w:gridCol w:w="1358"/>
      </w:tblGrid>
      <w:tr>
        <w:tc>
          <w:tcPr>
            <w:tcW w:type="dxa" w:w="1358"/>
            <w:shd w:fill="FF3E00" w:val="clear"/>
            <w:tcMar>
              <w:top w:type="dxa" w:w="80"/>
              <w:left w:type="dxa" w:w="120"/>
              <w:bottom w:type="dxa" w:w="80"/>
              <w:right w:type="dxa" w:w="120"/>
            </w:tcMar>
          </w:tcPr>
          <w:p>
            <w:pPr>
              <w:jc w:val="center"/>
            </w:pPr>
            <w:r>
              <w:rPr>
                <w:b/>
                <w:bCs/>
                <w:color w:val="FFFFFF"/>
                <w:sz w:val="20"/>
                <w:szCs w:val="20"/>
              </w:rPr>
              <w:t xml:space="preserve">Item</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Jul</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Aug</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Sep</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Oct</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Nov</w:t>
            </w:r>
          </w:p>
        </w:tc>
        <w:tc>
          <w:tcPr>
            <w:tcW w:type="dxa" w:w="1358"/>
            <w:shd w:fill="FF3E00" w:val="clear"/>
            <w:tcMar>
              <w:top w:type="dxa" w:w="80"/>
              <w:left w:type="dxa" w:w="120"/>
              <w:bottom w:type="dxa" w:w="80"/>
              <w:right w:type="dxa" w:w="120"/>
            </w:tcMar>
          </w:tcPr>
          <w:p>
            <w:pPr>
              <w:jc w:val="center"/>
            </w:pPr>
            <w:r>
              <w:rPr>
                <w:b/>
                <w:bCs/>
                <w:color w:val="FFFFFF"/>
                <w:sz w:val="20"/>
                <w:szCs w:val="20"/>
              </w:rPr>
              <w:t xml:space="preserve">Dec</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CNC online</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2</w:t>
            </w:r>
          </w:p>
        </w:tc>
        <w:tc>
          <w:tcPr>
            <w:tcW w:type="dxa" w:w="1358"/>
            <w:tcMar>
              <w:top w:type="dxa" w:w="80"/>
              <w:left w:type="dxa" w:w="120"/>
              <w:bottom w:type="dxa" w:w="80"/>
              <w:right w:type="dxa" w:w="120"/>
            </w:tcMar>
          </w:tcPr>
          <w:p>
            <w:pPr>
              <w:jc w:val="right"/>
            </w:pPr>
            <w:r>
              <w:rPr>
                <w:b w:val="false"/>
                <w:bCs w:val="false"/>
                <w:color w:val="1A1A1A"/>
                <w:sz w:val="20"/>
                <w:szCs w:val="20"/>
              </w:rPr>
              <w:t xml:space="preserve">3</w:t>
            </w:r>
          </w:p>
        </w:tc>
        <w:tc>
          <w:tcPr>
            <w:tcW w:type="dxa" w:w="1358"/>
            <w:tcMar>
              <w:top w:type="dxa" w:w="80"/>
              <w:left w:type="dxa" w:w="120"/>
              <w:bottom w:type="dxa" w:w="80"/>
              <w:right w:type="dxa" w:w="120"/>
            </w:tcMar>
          </w:tcPr>
          <w:p>
            <w:pPr>
              <w:jc w:val="right"/>
            </w:pPr>
            <w:r>
              <w:rPr>
                <w:b w:val="false"/>
                <w:bCs w:val="false"/>
                <w:color w:val="1A1A1A"/>
                <w:sz w:val="20"/>
                <w:szCs w:val="20"/>
              </w:rPr>
              <w:t xml:space="preserve">4</w:t>
            </w:r>
          </w:p>
        </w:tc>
        <w:tc>
          <w:tcPr>
            <w:tcW w:type="dxa" w:w="1358"/>
            <w:tcMar>
              <w:top w:type="dxa" w:w="80"/>
              <w:left w:type="dxa" w:w="120"/>
              <w:bottom w:type="dxa" w:w="80"/>
              <w:right w:type="dxa" w:w="120"/>
            </w:tcMar>
          </w:tcPr>
          <w:p>
            <w:pPr>
              <w:jc w:val="right"/>
            </w:pPr>
            <w:r>
              <w:rPr>
                <w:b w:val="false"/>
                <w:bCs w:val="false"/>
                <w:color w:val="1A1A1A"/>
                <w:sz w:val="20"/>
                <w:szCs w:val="20"/>
              </w:rPr>
              <w:t xml:space="preserve">5</w:t>
            </w:r>
          </w:p>
        </w:tc>
        <w:tc>
          <w:tcPr>
            <w:tcW w:type="dxa" w:w="1358"/>
            <w:tcMar>
              <w:top w:type="dxa" w:w="80"/>
              <w:left w:type="dxa" w:w="120"/>
              <w:bottom w:type="dxa" w:w="80"/>
              <w:right w:type="dxa" w:w="120"/>
            </w:tcMar>
          </w:tcPr>
          <w:p>
            <w:pPr>
              <w:jc w:val="right"/>
            </w:pPr>
            <w:r>
              <w:rPr>
                <w:b w:val="false"/>
                <w:bCs w:val="false"/>
                <w:color w:val="1A1A1A"/>
                <w:sz w:val="20"/>
                <w:szCs w:val="20"/>
              </w:rPr>
              <w:t xml:space="preserve">5</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Utilization</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10%</w:t>
            </w:r>
          </w:p>
        </w:tc>
        <w:tc>
          <w:tcPr>
            <w:tcW w:type="dxa" w:w="1358"/>
            <w:tcMar>
              <w:top w:type="dxa" w:w="80"/>
              <w:left w:type="dxa" w:w="120"/>
              <w:bottom w:type="dxa" w:w="80"/>
              <w:right w:type="dxa" w:w="120"/>
            </w:tcMar>
          </w:tcPr>
          <w:p>
            <w:pPr>
              <w:jc w:val="right"/>
            </w:pPr>
            <w:r>
              <w:rPr>
                <w:b w:val="false"/>
                <w:bCs w:val="false"/>
                <w:color w:val="1A1A1A"/>
                <w:sz w:val="20"/>
                <w:szCs w:val="20"/>
              </w:rPr>
              <w:t xml:space="preserve">13%</w:t>
            </w:r>
          </w:p>
        </w:tc>
        <w:tc>
          <w:tcPr>
            <w:tcW w:type="dxa" w:w="1358"/>
            <w:tcMar>
              <w:top w:type="dxa" w:w="80"/>
              <w:left w:type="dxa" w:w="120"/>
              <w:bottom w:type="dxa" w:w="80"/>
              <w:right w:type="dxa" w:w="120"/>
            </w:tcMar>
          </w:tcPr>
          <w:p>
            <w:pPr>
              <w:jc w:val="right"/>
            </w:pPr>
            <w:r>
              <w:rPr>
                <w:b w:val="false"/>
                <w:bCs w:val="false"/>
                <w:color w:val="1A1A1A"/>
                <w:sz w:val="20"/>
                <w:szCs w:val="20"/>
              </w:rPr>
              <w:t xml:space="preserve">16%</w:t>
            </w:r>
          </w:p>
        </w:tc>
        <w:tc>
          <w:tcPr>
            <w:tcW w:type="dxa" w:w="1358"/>
            <w:tcMar>
              <w:top w:type="dxa" w:w="80"/>
              <w:left w:type="dxa" w:w="120"/>
              <w:bottom w:type="dxa" w:w="80"/>
              <w:right w:type="dxa" w:w="120"/>
            </w:tcMar>
          </w:tcPr>
          <w:p>
            <w:pPr>
              <w:jc w:val="right"/>
            </w:pPr>
            <w:r>
              <w:rPr>
                <w:b w:val="false"/>
                <w:bCs w:val="false"/>
                <w:color w:val="1A1A1A"/>
                <w:sz w:val="20"/>
                <w:szCs w:val="20"/>
              </w:rPr>
              <w:t xml:space="preserve">18%</w:t>
            </w:r>
          </w:p>
        </w:tc>
        <w:tc>
          <w:tcPr>
            <w:tcW w:type="dxa" w:w="1358"/>
            <w:tcMar>
              <w:top w:type="dxa" w:w="80"/>
              <w:left w:type="dxa" w:w="120"/>
              <w:bottom w:type="dxa" w:w="80"/>
              <w:right w:type="dxa" w:w="120"/>
            </w:tcMar>
          </w:tcPr>
          <w:p>
            <w:pPr>
              <w:jc w:val="right"/>
            </w:pPr>
            <w:r>
              <w:rPr>
                <w:b w:val="false"/>
                <w:bCs w:val="false"/>
                <w:color w:val="1A1A1A"/>
                <w:sz w:val="20"/>
                <w:szCs w:val="20"/>
              </w:rPr>
              <w:t xml:space="preserve">20%</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Revenue</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0.44</w:t>
            </w:r>
          </w:p>
        </w:tc>
        <w:tc>
          <w:tcPr>
            <w:tcW w:type="dxa" w:w="1358"/>
            <w:tcMar>
              <w:top w:type="dxa" w:w="80"/>
              <w:left w:type="dxa" w:w="120"/>
              <w:bottom w:type="dxa" w:w="80"/>
              <w:right w:type="dxa" w:w="120"/>
            </w:tcMar>
          </w:tcPr>
          <w:p>
            <w:pPr>
              <w:jc w:val="right"/>
            </w:pPr>
            <w:r>
              <w:rPr>
                <w:b w:val="false"/>
                <w:bCs w:val="false"/>
                <w:color w:val="1A1A1A"/>
                <w:sz w:val="20"/>
                <w:szCs w:val="20"/>
              </w:rPr>
              <w:t xml:space="preserve">0.85</w:t>
            </w:r>
          </w:p>
        </w:tc>
        <w:tc>
          <w:tcPr>
            <w:tcW w:type="dxa" w:w="1358"/>
            <w:tcMar>
              <w:top w:type="dxa" w:w="80"/>
              <w:left w:type="dxa" w:w="120"/>
              <w:bottom w:type="dxa" w:w="80"/>
              <w:right w:type="dxa" w:w="120"/>
            </w:tcMar>
          </w:tcPr>
          <w:p>
            <w:pPr>
              <w:jc w:val="right"/>
            </w:pPr>
            <w:r>
              <w:rPr>
                <w:b w:val="false"/>
                <w:bCs w:val="false"/>
                <w:color w:val="1A1A1A"/>
                <w:sz w:val="20"/>
                <w:szCs w:val="20"/>
              </w:rPr>
              <w:t xml:space="preserve">1.40</w:t>
            </w:r>
          </w:p>
        </w:tc>
        <w:tc>
          <w:tcPr>
            <w:tcW w:type="dxa" w:w="1358"/>
            <w:tcMar>
              <w:top w:type="dxa" w:w="80"/>
              <w:left w:type="dxa" w:w="120"/>
              <w:bottom w:type="dxa" w:w="80"/>
              <w:right w:type="dxa" w:w="120"/>
            </w:tcMar>
          </w:tcPr>
          <w:p>
            <w:pPr>
              <w:jc w:val="right"/>
            </w:pPr>
            <w:r>
              <w:rPr>
                <w:b w:val="false"/>
                <w:bCs w:val="false"/>
                <w:color w:val="1A1A1A"/>
                <w:sz w:val="20"/>
                <w:szCs w:val="20"/>
              </w:rPr>
              <w:t xml:space="preserve">1.97</w:t>
            </w:r>
          </w:p>
        </w:tc>
        <w:tc>
          <w:tcPr>
            <w:tcW w:type="dxa" w:w="1358"/>
            <w:tcMar>
              <w:top w:type="dxa" w:w="80"/>
              <w:left w:type="dxa" w:w="120"/>
              <w:bottom w:type="dxa" w:w="80"/>
              <w:right w:type="dxa" w:w="120"/>
            </w:tcMar>
          </w:tcPr>
          <w:p>
            <w:pPr>
              <w:jc w:val="right"/>
            </w:pPr>
            <w:r>
              <w:rPr>
                <w:b w:val="false"/>
                <w:bCs w:val="false"/>
                <w:color w:val="1A1A1A"/>
                <w:sz w:val="20"/>
                <w:szCs w:val="20"/>
              </w:rPr>
              <w:t xml:space="preserve">2.19</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Personnel (ops)</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c>
          <w:tcPr>
            <w:tcW w:type="dxa" w:w="1358"/>
            <w:tcMar>
              <w:top w:type="dxa" w:w="80"/>
              <w:left w:type="dxa" w:w="120"/>
              <w:bottom w:type="dxa" w:w="80"/>
              <w:right w:type="dxa" w:w="120"/>
            </w:tcMar>
          </w:tcPr>
          <w:p>
            <w:pPr>
              <w:jc w:val="right"/>
            </w:pPr>
            <w:r>
              <w:rPr>
                <w:b w:val="false"/>
                <w:bCs w:val="false"/>
                <w:color w:val="1A1A1A"/>
                <w:sz w:val="20"/>
                <w:szCs w:val="20"/>
              </w:rPr>
              <w:t xml:space="preserve">0.37</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Personnel (admin)</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c>
          <w:tcPr>
            <w:tcW w:type="dxa" w:w="1358"/>
            <w:tcMar>
              <w:top w:type="dxa" w:w="80"/>
              <w:left w:type="dxa" w:w="120"/>
              <w:bottom w:type="dxa" w:w="80"/>
              <w:right w:type="dxa" w:w="120"/>
            </w:tcMar>
          </w:tcPr>
          <w:p>
            <w:pPr>
              <w:jc w:val="right"/>
            </w:pPr>
            <w:r>
              <w:rPr>
                <w:b w:val="false"/>
                <w:bCs w:val="false"/>
                <w:color w:val="1A1A1A"/>
                <w:sz w:val="20"/>
                <w:szCs w:val="20"/>
              </w:rPr>
              <w:t xml:space="preserve">0.47</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Facility lease</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c>
          <w:tcPr>
            <w:tcW w:type="dxa" w:w="1358"/>
            <w:tcMar>
              <w:top w:type="dxa" w:w="80"/>
              <w:left w:type="dxa" w:w="120"/>
              <w:bottom w:type="dxa" w:w="80"/>
              <w:right w:type="dxa" w:w="120"/>
            </w:tcMar>
          </w:tcPr>
          <w:p>
            <w:pPr>
              <w:jc w:val="right"/>
            </w:pPr>
            <w:r>
              <w:rPr>
                <w:b w:val="false"/>
                <w:bCs w:val="false"/>
                <w:color w:val="1A1A1A"/>
                <w:sz w:val="20"/>
                <w:szCs w:val="20"/>
              </w:rPr>
              <w:t xml:space="preserve">0.43</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Variable costs (13%)</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0.06</w:t>
            </w:r>
          </w:p>
        </w:tc>
        <w:tc>
          <w:tcPr>
            <w:tcW w:type="dxa" w:w="1358"/>
            <w:tcMar>
              <w:top w:type="dxa" w:w="80"/>
              <w:left w:type="dxa" w:w="120"/>
              <w:bottom w:type="dxa" w:w="80"/>
              <w:right w:type="dxa" w:w="120"/>
            </w:tcMar>
          </w:tcPr>
          <w:p>
            <w:pPr>
              <w:jc w:val="right"/>
            </w:pPr>
            <w:r>
              <w:rPr>
                <w:b w:val="false"/>
                <w:bCs w:val="false"/>
                <w:color w:val="1A1A1A"/>
                <w:sz w:val="20"/>
                <w:szCs w:val="20"/>
              </w:rPr>
              <w:t xml:space="preserve">0.11</w:t>
            </w:r>
          </w:p>
        </w:tc>
        <w:tc>
          <w:tcPr>
            <w:tcW w:type="dxa" w:w="1358"/>
            <w:tcMar>
              <w:top w:type="dxa" w:w="80"/>
              <w:left w:type="dxa" w:w="120"/>
              <w:bottom w:type="dxa" w:w="80"/>
              <w:right w:type="dxa" w:w="120"/>
            </w:tcMar>
          </w:tcPr>
          <w:p>
            <w:pPr>
              <w:jc w:val="right"/>
            </w:pPr>
            <w:r>
              <w:rPr>
                <w:b w:val="false"/>
                <w:bCs w:val="false"/>
                <w:color w:val="1A1A1A"/>
                <w:sz w:val="20"/>
                <w:szCs w:val="20"/>
              </w:rPr>
              <w:t xml:space="preserve">0.18</w:t>
            </w:r>
          </w:p>
        </w:tc>
        <w:tc>
          <w:tcPr>
            <w:tcW w:type="dxa" w:w="1358"/>
            <w:tcMar>
              <w:top w:type="dxa" w:w="80"/>
              <w:left w:type="dxa" w:w="120"/>
              <w:bottom w:type="dxa" w:w="80"/>
              <w:right w:type="dxa" w:w="120"/>
            </w:tcMar>
          </w:tcPr>
          <w:p>
            <w:pPr>
              <w:jc w:val="right"/>
            </w:pPr>
            <w:r>
              <w:rPr>
                <w:b w:val="false"/>
                <w:bCs w:val="false"/>
                <w:color w:val="1A1A1A"/>
                <w:sz w:val="20"/>
                <w:szCs w:val="20"/>
              </w:rPr>
              <w:t xml:space="preserve">0.26</w:t>
            </w:r>
          </w:p>
        </w:tc>
        <w:tc>
          <w:tcPr>
            <w:tcW w:type="dxa" w:w="1358"/>
            <w:tcMar>
              <w:top w:type="dxa" w:w="80"/>
              <w:left w:type="dxa" w:w="120"/>
              <w:bottom w:type="dxa" w:w="80"/>
              <w:right w:type="dxa" w:w="120"/>
            </w:tcMar>
          </w:tcPr>
          <w:p>
            <w:pPr>
              <w:jc w:val="right"/>
            </w:pPr>
            <w:r>
              <w:rPr>
                <w:b w:val="false"/>
                <w:bCs w:val="false"/>
                <w:color w:val="1A1A1A"/>
                <w:sz w:val="20"/>
                <w:szCs w:val="20"/>
              </w:rPr>
              <w:t xml:space="preserve">0.28</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CNC depreciation</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0.21</w:t>
            </w:r>
          </w:p>
        </w:tc>
        <w:tc>
          <w:tcPr>
            <w:tcW w:type="dxa" w:w="1358"/>
            <w:tcMar>
              <w:top w:type="dxa" w:w="80"/>
              <w:left w:type="dxa" w:w="120"/>
              <w:bottom w:type="dxa" w:w="80"/>
              <w:right w:type="dxa" w:w="120"/>
            </w:tcMar>
          </w:tcPr>
          <w:p>
            <w:pPr>
              <w:jc w:val="right"/>
            </w:pPr>
            <w:r>
              <w:rPr>
                <w:b w:val="false"/>
                <w:bCs w:val="false"/>
                <w:color w:val="1A1A1A"/>
                <w:sz w:val="20"/>
                <w:szCs w:val="20"/>
              </w:rPr>
              <w:t xml:space="preserve">0.31</w:t>
            </w:r>
          </w:p>
        </w:tc>
        <w:tc>
          <w:tcPr>
            <w:tcW w:type="dxa" w:w="1358"/>
            <w:tcMar>
              <w:top w:type="dxa" w:w="80"/>
              <w:left w:type="dxa" w:w="120"/>
              <w:bottom w:type="dxa" w:w="80"/>
              <w:right w:type="dxa" w:w="120"/>
            </w:tcMar>
          </w:tcPr>
          <w:p>
            <w:pPr>
              <w:jc w:val="right"/>
            </w:pPr>
            <w:r>
              <w:rPr>
                <w:b w:val="false"/>
                <w:bCs w:val="false"/>
                <w:color w:val="1A1A1A"/>
                <w:sz w:val="20"/>
                <w:szCs w:val="20"/>
              </w:rPr>
              <w:t xml:space="preserve">0.42</w:t>
            </w:r>
          </w:p>
        </w:tc>
        <w:tc>
          <w:tcPr>
            <w:tcW w:type="dxa" w:w="1358"/>
            <w:tcMar>
              <w:top w:type="dxa" w:w="80"/>
              <w:left w:type="dxa" w:w="120"/>
              <w:bottom w:type="dxa" w:w="80"/>
              <w:right w:type="dxa" w:w="120"/>
            </w:tcMar>
          </w:tcPr>
          <w:p>
            <w:pPr>
              <w:jc w:val="right"/>
            </w:pPr>
            <w:r>
              <w:rPr>
                <w:b w:val="false"/>
                <w:bCs w:val="false"/>
                <w:color w:val="1A1A1A"/>
                <w:sz w:val="20"/>
                <w:szCs w:val="20"/>
              </w:rPr>
              <w:t xml:space="preserve">0.52</w:t>
            </w:r>
          </w:p>
        </w:tc>
        <w:tc>
          <w:tcPr>
            <w:tcW w:type="dxa" w:w="1358"/>
            <w:tcMar>
              <w:top w:type="dxa" w:w="80"/>
              <w:left w:type="dxa" w:w="120"/>
              <w:bottom w:type="dxa" w:w="80"/>
              <w:right w:type="dxa" w:w="120"/>
            </w:tcMar>
          </w:tcPr>
          <w:p>
            <w:pPr>
              <w:jc w:val="right"/>
            </w:pPr>
            <w:r>
              <w:rPr>
                <w:b w:val="false"/>
                <w:bCs w:val="false"/>
                <w:color w:val="1A1A1A"/>
                <w:sz w:val="20"/>
                <w:szCs w:val="20"/>
              </w:rPr>
              <w:t xml:space="preserve">0.52</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Finance costs</w:t>
            </w:r>
          </w:p>
        </w:tc>
        <w:tc>
          <w:tcPr>
            <w:tcW w:type="dxa" w:w="1358"/>
            <w:tcMar>
              <w:top w:type="dxa" w:w="80"/>
              <w:left w:type="dxa" w:w="120"/>
              <w:bottom w:type="dxa" w:w="80"/>
              <w:right w:type="dxa" w:w="120"/>
            </w:tcMar>
          </w:tcPr>
          <w:p>
            <w:pPr>
              <w:jc w:val="right"/>
            </w:pPr>
            <w:r>
              <w:rPr>
                <w:b w:val="false"/>
                <w:bCs w:val="false"/>
                <w:color w:val="1A1A1A"/>
                <w:sz w:val="20"/>
                <w:szCs w:val="20"/>
              </w:rPr>
              <w:t xml:space="preserve">0</w:t>
            </w:r>
          </w:p>
        </w:tc>
        <w:tc>
          <w:tcPr>
            <w:tcW w:type="dxa" w:w="1358"/>
            <w:tcMar>
              <w:top w:type="dxa" w:w="80"/>
              <w:left w:type="dxa" w:w="120"/>
              <w:bottom w:type="dxa" w:w="80"/>
              <w:right w:type="dxa" w:w="120"/>
            </w:tcMar>
          </w:tcPr>
          <w:p>
            <w:pPr>
              <w:jc w:val="right"/>
            </w:pPr>
            <w:r>
              <w:rPr>
                <w:b w:val="false"/>
                <w:bCs w:val="false"/>
                <w:color w:val="1A1A1A"/>
                <w:sz w:val="20"/>
                <w:szCs w:val="20"/>
              </w:rPr>
              <w:t xml:space="preserve">0.06</w:t>
            </w:r>
          </w:p>
        </w:tc>
        <w:tc>
          <w:tcPr>
            <w:tcW w:type="dxa" w:w="1358"/>
            <w:tcMar>
              <w:top w:type="dxa" w:w="80"/>
              <w:left w:type="dxa" w:w="120"/>
              <w:bottom w:type="dxa" w:w="80"/>
              <w:right w:type="dxa" w:w="120"/>
            </w:tcMar>
          </w:tcPr>
          <w:p>
            <w:pPr>
              <w:jc w:val="right"/>
            </w:pPr>
            <w:r>
              <w:rPr>
                <w:b w:val="false"/>
                <w:bCs w:val="false"/>
                <w:color w:val="1A1A1A"/>
                <w:sz w:val="20"/>
                <w:szCs w:val="20"/>
              </w:rPr>
              <w:t xml:space="preserve">0.09</w:t>
            </w:r>
          </w:p>
        </w:tc>
        <w:tc>
          <w:tcPr>
            <w:tcW w:type="dxa" w:w="1358"/>
            <w:tcMar>
              <w:top w:type="dxa" w:w="80"/>
              <w:left w:type="dxa" w:w="120"/>
              <w:bottom w:type="dxa" w:w="80"/>
              <w:right w:type="dxa" w:w="120"/>
            </w:tcMar>
          </w:tcPr>
          <w:p>
            <w:pPr>
              <w:jc w:val="right"/>
            </w:pPr>
            <w:r>
              <w:rPr>
                <w:b w:val="false"/>
                <w:bCs w:val="false"/>
                <w:color w:val="1A1A1A"/>
                <w:sz w:val="20"/>
                <w:szCs w:val="20"/>
              </w:rPr>
              <w:t xml:space="preserve">0.13</w:t>
            </w:r>
          </w:p>
        </w:tc>
        <w:tc>
          <w:tcPr>
            <w:tcW w:type="dxa" w:w="1358"/>
            <w:tcMar>
              <w:top w:type="dxa" w:w="80"/>
              <w:left w:type="dxa" w:w="120"/>
              <w:bottom w:type="dxa" w:w="80"/>
              <w:right w:type="dxa" w:w="120"/>
            </w:tcMar>
          </w:tcPr>
          <w:p>
            <w:pPr>
              <w:jc w:val="right"/>
            </w:pPr>
            <w:r>
              <w:rPr>
                <w:b w:val="false"/>
                <w:bCs w:val="false"/>
                <w:color w:val="1A1A1A"/>
                <w:sz w:val="20"/>
                <w:szCs w:val="20"/>
              </w:rPr>
              <w:t xml:space="preserve">0.16</w:t>
            </w:r>
          </w:p>
        </w:tc>
        <w:tc>
          <w:tcPr>
            <w:tcW w:type="dxa" w:w="1358"/>
            <w:tcMar>
              <w:top w:type="dxa" w:w="80"/>
              <w:left w:type="dxa" w:w="120"/>
              <w:bottom w:type="dxa" w:w="80"/>
              <w:right w:type="dxa" w:w="120"/>
            </w:tcMar>
          </w:tcPr>
          <w:p>
            <w:pPr>
              <w:jc w:val="right"/>
            </w:pPr>
            <w:r>
              <w:rPr>
                <w:b w:val="false"/>
                <w:bCs w:val="false"/>
                <w:color w:val="1A1A1A"/>
                <w:sz w:val="20"/>
                <w:szCs w:val="20"/>
              </w:rPr>
              <w:t xml:space="preserve">0.16</w:t>
            </w:r>
          </w:p>
        </w:tc>
      </w:tr>
      <w:tr>
        <w:tc>
          <w:tcPr>
            <w:tcW w:type="dxa" w:w="1358"/>
            <w:tcMar>
              <w:top w:type="dxa" w:w="80"/>
              <w:left w:type="dxa" w:w="120"/>
              <w:bottom w:type="dxa" w:w="80"/>
              <w:right w:type="dxa" w:w="120"/>
            </w:tcMar>
          </w:tcPr>
          <w:p>
            <w:pPr>
              <w:jc w:val="left"/>
            </w:pPr>
            <w:r>
              <w:rPr>
                <w:b w:val="false"/>
                <w:bCs w:val="false"/>
                <w:color w:val="1A1A1A"/>
                <w:sz w:val="20"/>
                <w:szCs w:val="20"/>
              </w:rPr>
              <w:t xml:space="preserve">Other opex</w:t>
            </w:r>
          </w:p>
        </w:tc>
        <w:tc>
          <w:tcPr>
            <w:tcW w:type="dxa" w:w="1358"/>
            <w:tcMar>
              <w:top w:type="dxa" w:w="80"/>
              <w:left w:type="dxa" w:w="120"/>
              <w:bottom w:type="dxa" w:w="80"/>
              <w:right w:type="dxa" w:w="120"/>
            </w:tcMar>
          </w:tcPr>
          <w:p>
            <w:pPr>
              <w:jc w:val="right"/>
            </w:pPr>
            <w:r>
              <w:rPr>
                <w:b w:val="false"/>
                <w:bCs w:val="false"/>
                <w:color w:val="1A1A1A"/>
                <w:sz w:val="20"/>
                <w:szCs w:val="20"/>
              </w:rPr>
              <w:t xml:space="preserve">0.03</w:t>
            </w:r>
          </w:p>
        </w:tc>
        <w:tc>
          <w:tcPr>
            <w:tcW w:type="dxa" w:w="1358"/>
            <w:tcMar>
              <w:top w:type="dxa" w:w="80"/>
              <w:left w:type="dxa" w:w="120"/>
              <w:bottom w:type="dxa" w:w="80"/>
              <w:right w:type="dxa" w:w="120"/>
            </w:tcMar>
          </w:tcPr>
          <w:p>
            <w:pPr>
              <w:jc w:val="right"/>
            </w:pPr>
            <w:r>
              <w:rPr>
                <w:b w:val="false"/>
                <w:bCs w:val="false"/>
                <w:color w:val="1A1A1A"/>
                <w:sz w:val="20"/>
                <w:szCs w:val="20"/>
              </w:rPr>
              <w:t xml:space="preserve">0.03</w:t>
            </w:r>
          </w:p>
        </w:tc>
        <w:tc>
          <w:tcPr>
            <w:tcW w:type="dxa" w:w="1358"/>
            <w:tcMar>
              <w:top w:type="dxa" w:w="80"/>
              <w:left w:type="dxa" w:w="120"/>
              <w:bottom w:type="dxa" w:w="80"/>
              <w:right w:type="dxa" w:w="120"/>
            </w:tcMar>
          </w:tcPr>
          <w:p>
            <w:pPr>
              <w:jc w:val="right"/>
            </w:pPr>
            <w:r>
              <w:rPr>
                <w:b w:val="false"/>
                <w:bCs w:val="false"/>
                <w:color w:val="1A1A1A"/>
                <w:sz w:val="20"/>
                <w:szCs w:val="20"/>
              </w:rPr>
              <w:t xml:space="preserve">0.04</w:t>
            </w:r>
          </w:p>
        </w:tc>
        <w:tc>
          <w:tcPr>
            <w:tcW w:type="dxa" w:w="1358"/>
            <w:tcMar>
              <w:top w:type="dxa" w:w="80"/>
              <w:left w:type="dxa" w:w="120"/>
              <w:bottom w:type="dxa" w:w="80"/>
              <w:right w:type="dxa" w:w="120"/>
            </w:tcMar>
          </w:tcPr>
          <w:p>
            <w:pPr>
              <w:jc w:val="right"/>
            </w:pPr>
            <w:r>
              <w:rPr>
                <w:b w:val="false"/>
                <w:bCs w:val="false"/>
                <w:color w:val="1A1A1A"/>
                <w:sz w:val="20"/>
                <w:szCs w:val="20"/>
              </w:rPr>
              <w:t xml:space="preserve">0.05</w:t>
            </w:r>
          </w:p>
        </w:tc>
        <w:tc>
          <w:tcPr>
            <w:tcW w:type="dxa" w:w="1358"/>
            <w:tcMar>
              <w:top w:type="dxa" w:w="80"/>
              <w:left w:type="dxa" w:w="120"/>
              <w:bottom w:type="dxa" w:w="80"/>
              <w:right w:type="dxa" w:w="120"/>
            </w:tcMar>
          </w:tcPr>
          <w:p>
            <w:pPr>
              <w:jc w:val="right"/>
            </w:pPr>
            <w:r>
              <w:rPr>
                <w:b w:val="false"/>
                <w:bCs w:val="false"/>
                <w:color w:val="1A1A1A"/>
                <w:sz w:val="20"/>
                <w:szCs w:val="20"/>
              </w:rPr>
              <w:t xml:space="preserve">0.06</w:t>
            </w:r>
          </w:p>
        </w:tc>
        <w:tc>
          <w:tcPr>
            <w:tcW w:type="dxa" w:w="1358"/>
            <w:tcMar>
              <w:top w:type="dxa" w:w="80"/>
              <w:left w:type="dxa" w:w="120"/>
              <w:bottom w:type="dxa" w:w="80"/>
              <w:right w:type="dxa" w:w="120"/>
            </w:tcMar>
          </w:tcPr>
          <w:p>
            <w:pPr>
              <w:jc w:val="right"/>
            </w:pPr>
            <w:r>
              <w:rPr>
                <w:b w:val="false"/>
                <w:bCs w:val="false"/>
                <w:color w:val="1A1A1A"/>
                <w:sz w:val="20"/>
                <w:szCs w:val="20"/>
              </w:rPr>
              <w:t xml:space="preserve">0.06</w:t>
            </w:r>
          </w:p>
        </w:tc>
      </w:tr>
      <w:tr>
        <w:tc>
          <w:tcPr>
            <w:tcW w:type="dxa" w:w="1358"/>
            <w:tcMar>
              <w:top w:type="dxa" w:w="80"/>
              <w:left w:type="dxa" w:w="120"/>
              <w:bottom w:type="dxa" w:w="80"/>
              <w:right w:type="dxa" w:w="120"/>
            </w:tcMar>
          </w:tcPr>
          <w:p>
            <w:pPr>
              <w:jc w:val="left"/>
            </w:pPr>
            <w:r>
              <w:rPr>
                <w:b/>
                <w:bCs/>
                <w:color w:val="1A1A1A"/>
                <w:sz w:val="20"/>
                <w:szCs w:val="20"/>
              </w:rPr>
              <w:t xml:space="preserve">Total costs</w:t>
            </w:r>
          </w:p>
        </w:tc>
        <w:tc>
          <w:tcPr>
            <w:tcW w:type="dxa" w:w="1358"/>
            <w:tcMar>
              <w:top w:type="dxa" w:w="80"/>
              <w:left w:type="dxa" w:w="120"/>
              <w:bottom w:type="dxa" w:w="80"/>
              <w:right w:type="dxa" w:w="120"/>
            </w:tcMar>
          </w:tcPr>
          <w:p>
            <w:pPr>
              <w:jc w:val="right"/>
            </w:pPr>
            <w:r>
              <w:rPr>
                <w:b/>
                <w:bCs/>
                <w:color w:val="1A1A1A"/>
                <w:sz w:val="20"/>
                <w:szCs w:val="20"/>
              </w:rPr>
              <w:t xml:space="preserve">1.30</w:t>
            </w:r>
          </w:p>
        </w:tc>
        <w:tc>
          <w:tcPr>
            <w:tcW w:type="dxa" w:w="1358"/>
            <w:tcMar>
              <w:top w:type="dxa" w:w="80"/>
              <w:left w:type="dxa" w:w="120"/>
              <w:bottom w:type="dxa" w:w="80"/>
              <w:right w:type="dxa" w:w="120"/>
            </w:tcMar>
          </w:tcPr>
          <w:p>
            <w:pPr>
              <w:jc w:val="right"/>
            </w:pPr>
            <w:r>
              <w:rPr>
                <w:b/>
                <w:bCs/>
                <w:color w:val="1A1A1A"/>
                <w:sz w:val="20"/>
                <w:szCs w:val="20"/>
              </w:rPr>
              <w:t xml:space="preserve">1.63</w:t>
            </w:r>
          </w:p>
        </w:tc>
        <w:tc>
          <w:tcPr>
            <w:tcW w:type="dxa" w:w="1358"/>
            <w:tcMar>
              <w:top w:type="dxa" w:w="80"/>
              <w:left w:type="dxa" w:w="120"/>
              <w:bottom w:type="dxa" w:w="80"/>
              <w:right w:type="dxa" w:w="120"/>
            </w:tcMar>
          </w:tcPr>
          <w:p>
            <w:pPr>
              <w:jc w:val="right"/>
            </w:pPr>
            <w:r>
              <w:rPr>
                <w:b/>
                <w:bCs/>
                <w:color w:val="1A1A1A"/>
                <w:sz w:val="20"/>
                <w:szCs w:val="20"/>
              </w:rPr>
              <w:t xml:space="preserve">1.82</w:t>
            </w:r>
          </w:p>
        </w:tc>
        <w:tc>
          <w:tcPr>
            <w:tcW w:type="dxa" w:w="1358"/>
            <w:tcMar>
              <w:top w:type="dxa" w:w="80"/>
              <w:left w:type="dxa" w:w="120"/>
              <w:bottom w:type="dxa" w:w="80"/>
              <w:right w:type="dxa" w:w="120"/>
            </w:tcMar>
          </w:tcPr>
          <w:p>
            <w:pPr>
              <w:jc w:val="right"/>
            </w:pPr>
            <w:r>
              <w:rPr>
                <w:b/>
                <w:bCs/>
                <w:color w:val="1A1A1A"/>
                <w:sz w:val="20"/>
                <w:szCs w:val="20"/>
              </w:rPr>
              <w:t xml:space="preserve">2.05</w:t>
            </w:r>
          </w:p>
        </w:tc>
        <w:tc>
          <w:tcPr>
            <w:tcW w:type="dxa" w:w="1358"/>
            <w:tcMar>
              <w:top w:type="dxa" w:w="80"/>
              <w:left w:type="dxa" w:w="120"/>
              <w:bottom w:type="dxa" w:w="80"/>
              <w:right w:type="dxa" w:w="120"/>
            </w:tcMar>
          </w:tcPr>
          <w:p>
            <w:pPr>
              <w:jc w:val="right"/>
            </w:pPr>
            <w:r>
              <w:rPr>
                <w:b/>
                <w:bCs/>
                <w:color w:val="1A1A1A"/>
                <w:sz w:val="20"/>
                <w:szCs w:val="20"/>
              </w:rPr>
              <w:t xml:space="preserve">2.27</w:t>
            </w:r>
          </w:p>
        </w:tc>
        <w:tc>
          <w:tcPr>
            <w:tcW w:type="dxa" w:w="1358"/>
            <w:tcMar>
              <w:top w:type="dxa" w:w="80"/>
              <w:left w:type="dxa" w:w="120"/>
              <w:bottom w:type="dxa" w:w="80"/>
              <w:right w:type="dxa" w:w="120"/>
            </w:tcMar>
          </w:tcPr>
          <w:p>
            <w:pPr>
              <w:jc w:val="right"/>
            </w:pPr>
            <w:r>
              <w:rPr>
                <w:b/>
                <w:bCs/>
                <w:color w:val="1A1A1A"/>
                <w:sz w:val="20"/>
                <w:szCs w:val="20"/>
              </w:rPr>
              <w:t xml:space="preserve">2.29</w:t>
            </w:r>
          </w:p>
        </w:tc>
      </w:tr>
      <w:tr>
        <w:tc>
          <w:tcPr>
            <w:tcW w:type="dxa" w:w="1358"/>
            <w:tcMar>
              <w:top w:type="dxa" w:w="80"/>
              <w:left w:type="dxa" w:w="120"/>
              <w:bottom w:type="dxa" w:w="80"/>
              <w:right w:type="dxa" w:w="120"/>
            </w:tcMar>
          </w:tcPr>
          <w:p>
            <w:pPr>
              <w:jc w:val="left"/>
            </w:pPr>
            <w:r>
              <w:rPr>
                <w:b/>
                <w:bCs/>
                <w:color w:val="1A1A1A"/>
                <w:sz w:val="20"/>
                <w:szCs w:val="20"/>
              </w:rPr>
              <w:t xml:space="preserve">Operating result</w:t>
            </w:r>
          </w:p>
        </w:tc>
        <w:tc>
          <w:tcPr>
            <w:tcW w:type="dxa" w:w="1358"/>
            <w:tcMar>
              <w:top w:type="dxa" w:w="80"/>
              <w:left w:type="dxa" w:w="120"/>
              <w:bottom w:type="dxa" w:w="80"/>
              <w:right w:type="dxa" w:w="120"/>
            </w:tcMar>
          </w:tcPr>
          <w:p>
            <w:pPr>
              <w:jc w:val="right"/>
            </w:pPr>
            <w:r>
              <w:rPr>
                <w:b/>
                <w:bCs/>
                <w:color w:val="1A1A1A"/>
                <w:sz w:val="20"/>
                <w:szCs w:val="20"/>
              </w:rPr>
              <w:t xml:space="preserve">-1.30</w:t>
            </w:r>
          </w:p>
        </w:tc>
        <w:tc>
          <w:tcPr>
            <w:tcW w:type="dxa" w:w="1358"/>
            <w:tcMar>
              <w:top w:type="dxa" w:w="80"/>
              <w:left w:type="dxa" w:w="120"/>
              <w:bottom w:type="dxa" w:w="80"/>
              <w:right w:type="dxa" w:w="120"/>
            </w:tcMar>
          </w:tcPr>
          <w:p>
            <w:pPr>
              <w:jc w:val="right"/>
            </w:pPr>
            <w:r>
              <w:rPr>
                <w:b/>
                <w:bCs/>
                <w:color w:val="1A1A1A"/>
                <w:sz w:val="20"/>
                <w:szCs w:val="20"/>
              </w:rPr>
              <w:t xml:space="preserve">-1.19</w:t>
            </w:r>
          </w:p>
        </w:tc>
        <w:tc>
          <w:tcPr>
            <w:tcW w:type="dxa" w:w="1358"/>
            <w:tcMar>
              <w:top w:type="dxa" w:w="80"/>
              <w:left w:type="dxa" w:w="120"/>
              <w:bottom w:type="dxa" w:w="80"/>
              <w:right w:type="dxa" w:w="120"/>
            </w:tcMar>
          </w:tcPr>
          <w:p>
            <w:pPr>
              <w:jc w:val="right"/>
            </w:pPr>
            <w:r>
              <w:rPr>
                <w:b/>
                <w:bCs/>
                <w:color w:val="1A1A1A"/>
                <w:sz w:val="20"/>
                <w:szCs w:val="20"/>
              </w:rPr>
              <w:t xml:space="preserve">-0.97</w:t>
            </w:r>
          </w:p>
        </w:tc>
        <w:tc>
          <w:tcPr>
            <w:tcW w:type="dxa" w:w="1358"/>
            <w:tcMar>
              <w:top w:type="dxa" w:w="80"/>
              <w:left w:type="dxa" w:w="120"/>
              <w:bottom w:type="dxa" w:w="80"/>
              <w:right w:type="dxa" w:w="120"/>
            </w:tcMar>
          </w:tcPr>
          <w:p>
            <w:pPr>
              <w:jc w:val="right"/>
            </w:pPr>
            <w:r>
              <w:rPr>
                <w:b/>
                <w:bCs/>
                <w:color w:val="1A1A1A"/>
                <w:sz w:val="20"/>
                <w:szCs w:val="20"/>
              </w:rPr>
              <w:t xml:space="preserve">-0.65</w:t>
            </w:r>
          </w:p>
        </w:tc>
        <w:tc>
          <w:tcPr>
            <w:tcW w:type="dxa" w:w="1358"/>
            <w:tcMar>
              <w:top w:type="dxa" w:w="80"/>
              <w:left w:type="dxa" w:w="120"/>
              <w:bottom w:type="dxa" w:w="80"/>
              <w:right w:type="dxa" w:w="120"/>
            </w:tcMar>
          </w:tcPr>
          <w:p>
            <w:pPr>
              <w:jc w:val="right"/>
            </w:pPr>
            <w:r>
              <w:rPr>
                <w:b/>
                <w:bCs/>
                <w:color w:val="1A1A1A"/>
                <w:sz w:val="20"/>
                <w:szCs w:val="20"/>
              </w:rPr>
              <w:t xml:space="preserve">-0.30</w:t>
            </w:r>
          </w:p>
        </w:tc>
        <w:tc>
          <w:tcPr>
            <w:tcW w:type="dxa" w:w="1358"/>
            <w:tcMar>
              <w:top w:type="dxa" w:w="80"/>
              <w:left w:type="dxa" w:w="120"/>
              <w:bottom w:type="dxa" w:w="80"/>
              <w:right w:type="dxa" w:w="120"/>
            </w:tcMar>
          </w:tcPr>
          <w:p>
            <w:pPr>
              <w:jc w:val="right"/>
            </w:pPr>
            <w:r>
              <w:rPr>
                <w:b/>
                <w:bCs/>
                <w:color w:val="1A1A1A"/>
                <w:sz w:val="20"/>
                <w:szCs w:val="20"/>
              </w:rPr>
              <w:t xml:space="preserve">-0.10</w:t>
            </w:r>
          </w:p>
        </w:tc>
      </w:tr>
    </w:tbl>
    <w:p>
      <w:pPr>
        <w:spacing w:after="120"/>
      </w:pPr>
      <w:r>
        <w:t xml:space="preserve"/>
      </w:r>
    </w:p>
    <w:p>
      <w:pPr>
        <w:spacing w:after="140"/>
      </w:pPr>
      <w:r>
        <w:rPr>
          <w:color w:val="1A1A1A"/>
          <w:sz w:val="21"/>
          <w:szCs w:val="21"/>
        </w:rPr>
        <w:t xml:space="preserve">REV6 Reference: H2 2027 revenue totals 6.85 MNOK in the detailed monthly model. (Note: The full FM8 reference shows 10.9 MNOK for H2 2027 including the pre-revenue month adjustments. This monthly breakdown is illustrative with conservative intra-period ramp assumptions.)</w:t>
      </w:r>
    </w:p>
    <w:p>
      <w:r>
        <w:br w:type="page"/>
      </w:r>
    </w:p>
    <w:p>
      <w:pPr>
        <w:pStyle w:val="Heading1"/>
        <w:spacing w:before="240" w:after="120"/>
      </w:pPr>
      <w:r>
        <w:rPr>
          <w:b/>
          <w:bCs/>
          <w:color w:val="FF3E00"/>
          <w:sz w:val="28"/>
          <w:szCs w:val="28"/>
        </w:rPr>
        <w:t xml:space="preserve">3. Year 2 — 2028 (Full Year)</w:t>
      </w:r>
    </w:p>
    <w:p>
      <w:pPr>
        <w:spacing w:after="140"/>
      </w:pPr>
      <w:r>
        <w:rPr>
          <w:color w:val="1A1A1A"/>
          <w:sz w:val="21"/>
          <w:szCs w:val="21"/>
        </w:rPr>
        <w:t xml:space="preserve">Year 2 represents the first full calendar year of operations. Five CNC machines continue operating throughout 2028. Utilization ramps steadily from ~25% in January to ~50% in December, reflecting increased customer adoption and order volume. Importantly, NO additional machines are deployed in 2028. Serie A Tranche 1 (5 additional CNC machines) is ordered in Q4 2028 and becomes operational in Q1 2029.</w:t>
      </w:r>
    </w:p>
    <w:p>
      <w:pPr>
        <w:pStyle w:val="Heading2"/>
        <w:spacing w:before="200" w:after="100"/>
      </w:pPr>
      <w:r>
        <w:rPr>
          <w:b/>
          <w:bCs/>
          <w:color w:val="333333"/>
          <w:sz w:val="24"/>
          <w:szCs w:val="24"/>
        </w:rPr>
        <w:t xml:space="preserve">3.1 Monthly Cash Flow — 2028</w:t>
      </w:r>
    </w:p>
    <w:p>
      <w:pPr>
        <w:spacing w:after="140"/>
      </w:pPr>
      <w:r>
        <w:rPr>
          <w:color w:val="1A1A1A"/>
          <w:sz w:val="21"/>
          <w:szCs w:val="21"/>
        </w:rPr>
        <w:t xml:space="preserve">All 12 months feature 5 CNC machines. Utilization increases each month according to the progressive customer ramp forecast in REV6. Revenue is calculated as: 5 × 730 × util% × 3,000 NOK per month.</w:t>
      </w:r>
    </w:p>
    <w:tbl>
      <w:tblPr>
        <w:tblW w:type="dxa" w:w="9506"/>
        <w:tblBorders>
          <w:top w:val="single" w:color="CCCCCC" w:sz="1"/>
          <w:left w:val="single" w:color="CCCCCC" w:sz="1"/>
          <w:bottom w:val="single" w:color="CCCCCC" w:sz="1"/>
          <w:right w:val="single" w:color="CCCCCC" w:sz="1"/>
          <w:insideH w:val="single" w:color="CCCCCC" w:sz="1"/>
          <w:insideV w:val="single" w:color="CCCCCC" w:sz="1"/>
        </w:tblBorders>
      </w:tblPr>
      <w:tblGrid>
        <w:gridCol w:w="731"/>
        <w:gridCol w:w="731"/>
        <w:gridCol w:w="731"/>
        <w:gridCol w:w="731"/>
        <w:gridCol w:w="731"/>
        <w:gridCol w:w="731"/>
        <w:gridCol w:w="731"/>
        <w:gridCol w:w="731"/>
        <w:gridCol w:w="731"/>
        <w:gridCol w:w="731"/>
        <w:gridCol w:w="731"/>
        <w:gridCol w:w="731"/>
        <w:gridCol w:w="731"/>
      </w:tblGrid>
      <w:tr>
        <w:tc>
          <w:tcPr>
            <w:tcW w:type="dxa" w:w="731"/>
            <w:shd w:fill="FF3E00" w:val="clear"/>
            <w:tcMar>
              <w:top w:type="dxa" w:w="80"/>
              <w:left w:type="dxa" w:w="120"/>
              <w:bottom w:type="dxa" w:w="80"/>
              <w:right w:type="dxa" w:w="120"/>
            </w:tcMar>
          </w:tcPr>
          <w:p>
            <w:pPr>
              <w:jc w:val="center"/>
            </w:pPr>
            <w:r>
              <w:rPr>
                <w:b/>
                <w:bCs/>
                <w:color w:val="FFFFFF"/>
                <w:sz w:val="20"/>
                <w:szCs w:val="20"/>
              </w:rPr>
              <w:t xml:space="preserve">Item</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Jan</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Feb</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Mar</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Apr</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May</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Jun</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Jul</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Aug</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Sep</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Oct</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Nov</w:t>
            </w:r>
          </w:p>
        </w:tc>
        <w:tc>
          <w:tcPr>
            <w:tcW w:type="dxa" w:w="731"/>
            <w:shd w:fill="FF3E00" w:val="clear"/>
            <w:tcMar>
              <w:top w:type="dxa" w:w="80"/>
              <w:left w:type="dxa" w:w="120"/>
              <w:bottom w:type="dxa" w:w="80"/>
              <w:right w:type="dxa" w:w="120"/>
            </w:tcMar>
          </w:tcPr>
          <w:p>
            <w:pPr>
              <w:jc w:val="center"/>
            </w:pPr>
            <w:r>
              <w:rPr>
                <w:b/>
                <w:bCs/>
                <w:color w:val="FFFFFF"/>
                <w:sz w:val="20"/>
                <w:szCs w:val="20"/>
              </w:rPr>
              <w:t xml:space="preserve">Dec</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CNC machines</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c>
          <w:tcPr>
            <w:tcW w:type="dxa" w:w="731"/>
            <w:tcMar>
              <w:top w:type="dxa" w:w="80"/>
              <w:left w:type="dxa" w:w="120"/>
              <w:bottom w:type="dxa" w:w="80"/>
              <w:right w:type="dxa" w:w="120"/>
            </w:tcMar>
          </w:tcPr>
          <w:p>
            <w:pPr>
              <w:jc w:val="right"/>
            </w:pPr>
            <w:r>
              <w:rPr>
                <w:b w:val="false"/>
                <w:bCs w:val="false"/>
                <w:color w:val="1A1A1A"/>
                <w:sz w:val="20"/>
                <w:szCs w:val="20"/>
              </w:rPr>
              <w:t xml:space="preserve">5</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Utilization</w:t>
            </w:r>
          </w:p>
        </w:tc>
        <w:tc>
          <w:tcPr>
            <w:tcW w:type="dxa" w:w="731"/>
            <w:tcMar>
              <w:top w:type="dxa" w:w="80"/>
              <w:left w:type="dxa" w:w="120"/>
              <w:bottom w:type="dxa" w:w="80"/>
              <w:right w:type="dxa" w:w="120"/>
            </w:tcMar>
          </w:tcPr>
          <w:p>
            <w:pPr>
              <w:jc w:val="right"/>
            </w:pPr>
            <w:r>
              <w:rPr>
                <w:b w:val="false"/>
                <w:bCs w:val="false"/>
                <w:color w:val="1A1A1A"/>
                <w:sz w:val="20"/>
                <w:szCs w:val="20"/>
              </w:rPr>
              <w:t xml:space="preserve">25%</w:t>
            </w:r>
          </w:p>
        </w:tc>
        <w:tc>
          <w:tcPr>
            <w:tcW w:type="dxa" w:w="731"/>
            <w:tcMar>
              <w:top w:type="dxa" w:w="80"/>
              <w:left w:type="dxa" w:w="120"/>
              <w:bottom w:type="dxa" w:w="80"/>
              <w:right w:type="dxa" w:w="120"/>
            </w:tcMar>
          </w:tcPr>
          <w:p>
            <w:pPr>
              <w:jc w:val="right"/>
            </w:pPr>
            <w:r>
              <w:rPr>
                <w:b w:val="false"/>
                <w:bCs w:val="false"/>
                <w:color w:val="1A1A1A"/>
                <w:sz w:val="20"/>
                <w:szCs w:val="20"/>
              </w:rPr>
              <w:t xml:space="preserve">27%</w:t>
            </w:r>
          </w:p>
        </w:tc>
        <w:tc>
          <w:tcPr>
            <w:tcW w:type="dxa" w:w="731"/>
            <w:tcMar>
              <w:top w:type="dxa" w:w="80"/>
              <w:left w:type="dxa" w:w="120"/>
              <w:bottom w:type="dxa" w:w="80"/>
              <w:right w:type="dxa" w:w="120"/>
            </w:tcMar>
          </w:tcPr>
          <w:p>
            <w:pPr>
              <w:jc w:val="right"/>
            </w:pPr>
            <w:r>
              <w:rPr>
                <w:b w:val="false"/>
                <w:bCs w:val="false"/>
                <w:color w:val="1A1A1A"/>
                <w:sz w:val="20"/>
                <w:szCs w:val="20"/>
              </w:rPr>
              <w:t xml:space="preserve">30%</w:t>
            </w:r>
          </w:p>
        </w:tc>
        <w:tc>
          <w:tcPr>
            <w:tcW w:type="dxa" w:w="731"/>
            <w:tcMar>
              <w:top w:type="dxa" w:w="80"/>
              <w:left w:type="dxa" w:w="120"/>
              <w:bottom w:type="dxa" w:w="80"/>
              <w:right w:type="dxa" w:w="120"/>
            </w:tcMar>
          </w:tcPr>
          <w:p>
            <w:pPr>
              <w:jc w:val="right"/>
            </w:pPr>
            <w:r>
              <w:rPr>
                <w:b w:val="false"/>
                <w:bCs w:val="false"/>
                <w:color w:val="1A1A1A"/>
                <w:sz w:val="20"/>
                <w:szCs w:val="20"/>
              </w:rPr>
              <w:t xml:space="preserve">32%</w:t>
            </w:r>
          </w:p>
        </w:tc>
        <w:tc>
          <w:tcPr>
            <w:tcW w:type="dxa" w:w="731"/>
            <w:tcMar>
              <w:top w:type="dxa" w:w="80"/>
              <w:left w:type="dxa" w:w="120"/>
              <w:bottom w:type="dxa" w:w="80"/>
              <w:right w:type="dxa" w:w="120"/>
            </w:tcMar>
          </w:tcPr>
          <w:p>
            <w:pPr>
              <w:jc w:val="right"/>
            </w:pPr>
            <w:r>
              <w:rPr>
                <w:b w:val="false"/>
                <w:bCs w:val="false"/>
                <w:color w:val="1A1A1A"/>
                <w:sz w:val="20"/>
                <w:szCs w:val="20"/>
              </w:rPr>
              <w:t xml:space="preserve">33%</w:t>
            </w:r>
          </w:p>
        </w:tc>
        <w:tc>
          <w:tcPr>
            <w:tcW w:type="dxa" w:w="731"/>
            <w:tcMar>
              <w:top w:type="dxa" w:w="80"/>
              <w:left w:type="dxa" w:w="120"/>
              <w:bottom w:type="dxa" w:w="80"/>
              <w:right w:type="dxa" w:w="120"/>
            </w:tcMar>
          </w:tcPr>
          <w:p>
            <w:pPr>
              <w:jc w:val="right"/>
            </w:pPr>
            <w:r>
              <w:rPr>
                <w:b w:val="false"/>
                <w:bCs w:val="false"/>
                <w:color w:val="1A1A1A"/>
                <w:sz w:val="20"/>
                <w:szCs w:val="20"/>
              </w:rPr>
              <w:t xml:space="preserve">35%</w:t>
            </w:r>
          </w:p>
        </w:tc>
        <w:tc>
          <w:tcPr>
            <w:tcW w:type="dxa" w:w="731"/>
            <w:tcMar>
              <w:top w:type="dxa" w:w="80"/>
              <w:left w:type="dxa" w:w="120"/>
              <w:bottom w:type="dxa" w:w="80"/>
              <w:right w:type="dxa" w:w="120"/>
            </w:tcMar>
          </w:tcPr>
          <w:p>
            <w:pPr>
              <w:jc w:val="right"/>
            </w:pPr>
            <w:r>
              <w:rPr>
                <w:b w:val="false"/>
                <w:bCs w:val="false"/>
                <w:color w:val="1A1A1A"/>
                <w:sz w:val="20"/>
                <w:szCs w:val="20"/>
              </w:rPr>
              <w:t xml:space="preserve">37%</w:t>
            </w:r>
          </w:p>
        </w:tc>
        <w:tc>
          <w:tcPr>
            <w:tcW w:type="dxa" w:w="731"/>
            <w:tcMar>
              <w:top w:type="dxa" w:w="80"/>
              <w:left w:type="dxa" w:w="120"/>
              <w:bottom w:type="dxa" w:w="80"/>
              <w:right w:type="dxa" w:w="120"/>
            </w:tcMar>
          </w:tcPr>
          <w:p>
            <w:pPr>
              <w:jc w:val="right"/>
            </w:pPr>
            <w:r>
              <w:rPr>
                <w:b w:val="false"/>
                <w:bCs w:val="false"/>
                <w:color w:val="1A1A1A"/>
                <w:sz w:val="20"/>
                <w:szCs w:val="20"/>
              </w:rPr>
              <w:t xml:space="preserve">38%</w:t>
            </w:r>
          </w:p>
        </w:tc>
        <w:tc>
          <w:tcPr>
            <w:tcW w:type="dxa" w:w="731"/>
            <w:tcMar>
              <w:top w:type="dxa" w:w="80"/>
              <w:left w:type="dxa" w:w="120"/>
              <w:bottom w:type="dxa" w:w="80"/>
              <w:right w:type="dxa" w:w="120"/>
            </w:tcMar>
          </w:tcPr>
          <w:p>
            <w:pPr>
              <w:jc w:val="right"/>
            </w:pPr>
            <w:r>
              <w:rPr>
                <w:b w:val="false"/>
                <w:bCs w:val="false"/>
                <w:color w:val="1A1A1A"/>
                <w:sz w:val="20"/>
                <w:szCs w:val="20"/>
              </w:rPr>
              <w:t xml:space="preserve">40%</w:t>
            </w:r>
          </w:p>
        </w:tc>
        <w:tc>
          <w:tcPr>
            <w:tcW w:type="dxa" w:w="731"/>
            <w:tcMar>
              <w:top w:type="dxa" w:w="80"/>
              <w:left w:type="dxa" w:w="120"/>
              <w:bottom w:type="dxa" w:w="80"/>
              <w:right w:type="dxa" w:w="120"/>
            </w:tcMar>
          </w:tcPr>
          <w:p>
            <w:pPr>
              <w:jc w:val="right"/>
            </w:pPr>
            <w:r>
              <w:rPr>
                <w:b w:val="false"/>
                <w:bCs w:val="false"/>
                <w:color w:val="1A1A1A"/>
                <w:sz w:val="20"/>
                <w:szCs w:val="20"/>
              </w:rPr>
              <w:t xml:space="preserve">43%</w:t>
            </w:r>
          </w:p>
        </w:tc>
        <w:tc>
          <w:tcPr>
            <w:tcW w:type="dxa" w:w="731"/>
            <w:tcMar>
              <w:top w:type="dxa" w:w="80"/>
              <w:left w:type="dxa" w:w="120"/>
              <w:bottom w:type="dxa" w:w="80"/>
              <w:right w:type="dxa" w:w="120"/>
            </w:tcMar>
          </w:tcPr>
          <w:p>
            <w:pPr>
              <w:jc w:val="right"/>
            </w:pPr>
            <w:r>
              <w:rPr>
                <w:b w:val="false"/>
                <w:bCs w:val="false"/>
                <w:color w:val="1A1A1A"/>
                <w:sz w:val="20"/>
                <w:szCs w:val="20"/>
              </w:rPr>
              <w:t xml:space="preserve">47%</w:t>
            </w:r>
          </w:p>
        </w:tc>
        <w:tc>
          <w:tcPr>
            <w:tcW w:type="dxa" w:w="731"/>
            <w:tcMar>
              <w:top w:type="dxa" w:w="80"/>
              <w:left w:type="dxa" w:w="120"/>
              <w:bottom w:type="dxa" w:w="80"/>
              <w:right w:type="dxa" w:w="120"/>
            </w:tcMar>
          </w:tcPr>
          <w:p>
            <w:pPr>
              <w:jc w:val="right"/>
            </w:pPr>
            <w:r>
              <w:rPr>
                <w:b w:val="false"/>
                <w:bCs w:val="false"/>
                <w:color w:val="1A1A1A"/>
                <w:sz w:val="20"/>
                <w:szCs w:val="20"/>
              </w:rPr>
              <w:t xml:space="preserve">50%</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Revenue</w:t>
            </w:r>
          </w:p>
        </w:tc>
        <w:tc>
          <w:tcPr>
            <w:tcW w:type="dxa" w:w="731"/>
            <w:tcMar>
              <w:top w:type="dxa" w:w="80"/>
              <w:left w:type="dxa" w:w="120"/>
              <w:bottom w:type="dxa" w:w="80"/>
              <w:right w:type="dxa" w:w="120"/>
            </w:tcMar>
          </w:tcPr>
          <w:p>
            <w:pPr>
              <w:jc w:val="right"/>
            </w:pPr>
            <w:r>
              <w:rPr>
                <w:b w:val="false"/>
                <w:bCs w:val="false"/>
                <w:color w:val="1A1A1A"/>
                <w:sz w:val="20"/>
                <w:szCs w:val="20"/>
              </w:rPr>
              <w:t xml:space="preserve">2.74</w:t>
            </w:r>
          </w:p>
        </w:tc>
        <w:tc>
          <w:tcPr>
            <w:tcW w:type="dxa" w:w="731"/>
            <w:tcMar>
              <w:top w:type="dxa" w:w="80"/>
              <w:left w:type="dxa" w:w="120"/>
              <w:bottom w:type="dxa" w:w="80"/>
              <w:right w:type="dxa" w:w="120"/>
            </w:tcMar>
          </w:tcPr>
          <w:p>
            <w:pPr>
              <w:jc w:val="right"/>
            </w:pPr>
            <w:r>
              <w:rPr>
                <w:b w:val="false"/>
                <w:bCs w:val="false"/>
                <w:color w:val="1A1A1A"/>
                <w:sz w:val="20"/>
                <w:szCs w:val="20"/>
              </w:rPr>
              <w:t xml:space="preserve">2.96</w:t>
            </w:r>
          </w:p>
        </w:tc>
        <w:tc>
          <w:tcPr>
            <w:tcW w:type="dxa" w:w="731"/>
            <w:tcMar>
              <w:top w:type="dxa" w:w="80"/>
              <w:left w:type="dxa" w:w="120"/>
              <w:bottom w:type="dxa" w:w="80"/>
              <w:right w:type="dxa" w:w="120"/>
            </w:tcMar>
          </w:tcPr>
          <w:p>
            <w:pPr>
              <w:jc w:val="right"/>
            </w:pPr>
            <w:r>
              <w:rPr>
                <w:b w:val="false"/>
                <w:bCs w:val="false"/>
                <w:color w:val="1A1A1A"/>
                <w:sz w:val="20"/>
                <w:szCs w:val="20"/>
              </w:rPr>
              <w:t xml:space="preserve">3.29</w:t>
            </w:r>
          </w:p>
        </w:tc>
        <w:tc>
          <w:tcPr>
            <w:tcW w:type="dxa" w:w="731"/>
            <w:tcMar>
              <w:top w:type="dxa" w:w="80"/>
              <w:left w:type="dxa" w:w="120"/>
              <w:bottom w:type="dxa" w:w="80"/>
              <w:right w:type="dxa" w:w="120"/>
            </w:tcMar>
          </w:tcPr>
          <w:p>
            <w:pPr>
              <w:jc w:val="right"/>
            </w:pPr>
            <w:r>
              <w:rPr>
                <w:b w:val="false"/>
                <w:bCs w:val="false"/>
                <w:color w:val="1A1A1A"/>
                <w:sz w:val="20"/>
                <w:szCs w:val="20"/>
              </w:rPr>
              <w:t xml:space="preserve">3.50</w:t>
            </w:r>
          </w:p>
        </w:tc>
        <w:tc>
          <w:tcPr>
            <w:tcW w:type="dxa" w:w="731"/>
            <w:tcMar>
              <w:top w:type="dxa" w:w="80"/>
              <w:left w:type="dxa" w:w="120"/>
              <w:bottom w:type="dxa" w:w="80"/>
              <w:right w:type="dxa" w:w="120"/>
            </w:tcMar>
          </w:tcPr>
          <w:p>
            <w:pPr>
              <w:jc w:val="right"/>
            </w:pPr>
            <w:r>
              <w:rPr>
                <w:b w:val="false"/>
                <w:bCs w:val="false"/>
                <w:color w:val="1A1A1A"/>
                <w:sz w:val="20"/>
                <w:szCs w:val="20"/>
              </w:rPr>
              <w:t xml:space="preserve">3.61</w:t>
            </w:r>
          </w:p>
        </w:tc>
        <w:tc>
          <w:tcPr>
            <w:tcW w:type="dxa" w:w="731"/>
            <w:tcMar>
              <w:top w:type="dxa" w:w="80"/>
              <w:left w:type="dxa" w:w="120"/>
              <w:bottom w:type="dxa" w:w="80"/>
              <w:right w:type="dxa" w:w="120"/>
            </w:tcMar>
          </w:tcPr>
          <w:p>
            <w:pPr>
              <w:jc w:val="right"/>
            </w:pPr>
            <w:r>
              <w:rPr>
                <w:b w:val="false"/>
                <w:bCs w:val="false"/>
                <w:color w:val="1A1A1A"/>
                <w:sz w:val="20"/>
                <w:szCs w:val="20"/>
              </w:rPr>
              <w:t xml:space="preserve">3.83</w:t>
            </w:r>
          </w:p>
        </w:tc>
        <w:tc>
          <w:tcPr>
            <w:tcW w:type="dxa" w:w="731"/>
            <w:tcMar>
              <w:top w:type="dxa" w:w="80"/>
              <w:left w:type="dxa" w:w="120"/>
              <w:bottom w:type="dxa" w:w="80"/>
              <w:right w:type="dxa" w:w="120"/>
            </w:tcMar>
          </w:tcPr>
          <w:p>
            <w:pPr>
              <w:jc w:val="right"/>
            </w:pPr>
            <w:r>
              <w:rPr>
                <w:b w:val="false"/>
                <w:bCs w:val="false"/>
                <w:color w:val="1A1A1A"/>
                <w:sz w:val="20"/>
                <w:szCs w:val="20"/>
              </w:rPr>
              <w:t xml:space="preserve">4.05</w:t>
            </w:r>
          </w:p>
        </w:tc>
        <w:tc>
          <w:tcPr>
            <w:tcW w:type="dxa" w:w="731"/>
            <w:tcMar>
              <w:top w:type="dxa" w:w="80"/>
              <w:left w:type="dxa" w:w="120"/>
              <w:bottom w:type="dxa" w:w="80"/>
              <w:right w:type="dxa" w:w="120"/>
            </w:tcMar>
          </w:tcPr>
          <w:p>
            <w:pPr>
              <w:jc w:val="right"/>
            </w:pPr>
            <w:r>
              <w:rPr>
                <w:b w:val="false"/>
                <w:bCs w:val="false"/>
                <w:color w:val="1A1A1A"/>
                <w:sz w:val="20"/>
                <w:szCs w:val="20"/>
              </w:rPr>
              <w:t xml:space="preserve">4.16</w:t>
            </w:r>
          </w:p>
        </w:tc>
        <w:tc>
          <w:tcPr>
            <w:tcW w:type="dxa" w:w="731"/>
            <w:tcMar>
              <w:top w:type="dxa" w:w="80"/>
              <w:left w:type="dxa" w:w="120"/>
              <w:bottom w:type="dxa" w:w="80"/>
              <w:right w:type="dxa" w:w="120"/>
            </w:tcMar>
          </w:tcPr>
          <w:p>
            <w:pPr>
              <w:jc w:val="right"/>
            </w:pPr>
            <w:r>
              <w:rPr>
                <w:b w:val="false"/>
                <w:bCs w:val="false"/>
                <w:color w:val="1A1A1A"/>
                <w:sz w:val="20"/>
                <w:szCs w:val="20"/>
              </w:rPr>
              <w:t xml:space="preserve">4.38</w:t>
            </w:r>
          </w:p>
        </w:tc>
        <w:tc>
          <w:tcPr>
            <w:tcW w:type="dxa" w:w="731"/>
            <w:tcMar>
              <w:top w:type="dxa" w:w="80"/>
              <w:left w:type="dxa" w:w="120"/>
              <w:bottom w:type="dxa" w:w="80"/>
              <w:right w:type="dxa" w:w="120"/>
            </w:tcMar>
          </w:tcPr>
          <w:p>
            <w:pPr>
              <w:jc w:val="right"/>
            </w:pPr>
            <w:r>
              <w:rPr>
                <w:b w:val="false"/>
                <w:bCs w:val="false"/>
                <w:color w:val="1A1A1A"/>
                <w:sz w:val="20"/>
                <w:szCs w:val="20"/>
              </w:rPr>
              <w:t xml:space="preserve">4.71</w:t>
            </w:r>
          </w:p>
        </w:tc>
        <w:tc>
          <w:tcPr>
            <w:tcW w:type="dxa" w:w="731"/>
            <w:tcMar>
              <w:top w:type="dxa" w:w="80"/>
              <w:left w:type="dxa" w:w="120"/>
              <w:bottom w:type="dxa" w:w="80"/>
              <w:right w:type="dxa" w:w="120"/>
            </w:tcMar>
          </w:tcPr>
          <w:p>
            <w:pPr>
              <w:jc w:val="right"/>
            </w:pPr>
            <w:r>
              <w:rPr>
                <w:b w:val="false"/>
                <w:bCs w:val="false"/>
                <w:color w:val="1A1A1A"/>
                <w:sz w:val="20"/>
                <w:szCs w:val="20"/>
              </w:rPr>
              <w:t xml:space="preserve">5.15</w:t>
            </w:r>
          </w:p>
        </w:tc>
        <w:tc>
          <w:tcPr>
            <w:tcW w:type="dxa" w:w="731"/>
            <w:tcMar>
              <w:top w:type="dxa" w:w="80"/>
              <w:left w:type="dxa" w:w="120"/>
              <w:bottom w:type="dxa" w:w="80"/>
              <w:right w:type="dxa" w:w="120"/>
            </w:tcMar>
          </w:tcPr>
          <w:p>
            <w:pPr>
              <w:jc w:val="right"/>
            </w:pPr>
            <w:r>
              <w:rPr>
                <w:b w:val="false"/>
                <w:bCs w:val="false"/>
                <w:color w:val="1A1A1A"/>
                <w:sz w:val="20"/>
                <w:szCs w:val="20"/>
              </w:rPr>
              <w:t xml:space="preserve">5.48</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Personnel (ops)</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c>
          <w:tcPr>
            <w:tcW w:type="dxa" w:w="731"/>
            <w:tcMar>
              <w:top w:type="dxa" w:w="80"/>
              <w:left w:type="dxa" w:w="120"/>
              <w:bottom w:type="dxa" w:w="80"/>
              <w:right w:type="dxa" w:w="120"/>
            </w:tcMar>
          </w:tcPr>
          <w:p>
            <w:pPr>
              <w:jc w:val="right"/>
            </w:pPr>
            <w:r>
              <w:rPr>
                <w:b w:val="false"/>
                <w:bCs w:val="false"/>
                <w:color w:val="1A1A1A"/>
                <w:sz w:val="20"/>
                <w:szCs w:val="20"/>
              </w:rPr>
              <w:t xml:space="preserve">0.55</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Personnel (admin)</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Facility</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Variable (13%)</w:t>
            </w:r>
          </w:p>
        </w:tc>
        <w:tc>
          <w:tcPr>
            <w:tcW w:type="dxa" w:w="731"/>
            <w:tcMar>
              <w:top w:type="dxa" w:w="80"/>
              <w:left w:type="dxa" w:w="120"/>
              <w:bottom w:type="dxa" w:w="80"/>
              <w:right w:type="dxa" w:w="120"/>
            </w:tcMar>
          </w:tcPr>
          <w:p>
            <w:pPr>
              <w:jc w:val="right"/>
            </w:pPr>
            <w:r>
              <w:rPr>
                <w:b w:val="false"/>
                <w:bCs w:val="false"/>
                <w:color w:val="1A1A1A"/>
                <w:sz w:val="20"/>
                <w:szCs w:val="20"/>
              </w:rPr>
              <w:t xml:space="preserve">0.36</w:t>
            </w:r>
          </w:p>
        </w:tc>
        <w:tc>
          <w:tcPr>
            <w:tcW w:type="dxa" w:w="731"/>
            <w:tcMar>
              <w:top w:type="dxa" w:w="80"/>
              <w:left w:type="dxa" w:w="120"/>
              <w:bottom w:type="dxa" w:w="80"/>
              <w:right w:type="dxa" w:w="120"/>
            </w:tcMar>
          </w:tcPr>
          <w:p>
            <w:pPr>
              <w:jc w:val="right"/>
            </w:pPr>
            <w:r>
              <w:rPr>
                <w:b w:val="false"/>
                <w:bCs w:val="false"/>
                <w:color w:val="1A1A1A"/>
                <w:sz w:val="20"/>
                <w:szCs w:val="20"/>
              </w:rPr>
              <w:t xml:space="preserve">0.38</w:t>
            </w:r>
          </w:p>
        </w:tc>
        <w:tc>
          <w:tcPr>
            <w:tcW w:type="dxa" w:w="731"/>
            <w:tcMar>
              <w:top w:type="dxa" w:w="80"/>
              <w:left w:type="dxa" w:w="120"/>
              <w:bottom w:type="dxa" w:w="80"/>
              <w:right w:type="dxa" w:w="120"/>
            </w:tcMar>
          </w:tcPr>
          <w:p>
            <w:pPr>
              <w:jc w:val="right"/>
            </w:pPr>
            <w:r>
              <w:rPr>
                <w:b w:val="false"/>
                <w:bCs w:val="false"/>
                <w:color w:val="1A1A1A"/>
                <w:sz w:val="20"/>
                <w:szCs w:val="20"/>
              </w:rPr>
              <w:t xml:space="preserve">0.43</w:t>
            </w:r>
          </w:p>
        </w:tc>
        <w:tc>
          <w:tcPr>
            <w:tcW w:type="dxa" w:w="731"/>
            <w:tcMar>
              <w:top w:type="dxa" w:w="80"/>
              <w:left w:type="dxa" w:w="120"/>
              <w:bottom w:type="dxa" w:w="80"/>
              <w:right w:type="dxa" w:w="120"/>
            </w:tcMar>
          </w:tcPr>
          <w:p>
            <w:pPr>
              <w:jc w:val="right"/>
            </w:pPr>
            <w:r>
              <w:rPr>
                <w:b w:val="false"/>
                <w:bCs w:val="false"/>
                <w:color w:val="1A1A1A"/>
                <w:sz w:val="20"/>
                <w:szCs w:val="20"/>
              </w:rPr>
              <w:t xml:space="preserve">0.46</w:t>
            </w:r>
          </w:p>
        </w:tc>
        <w:tc>
          <w:tcPr>
            <w:tcW w:type="dxa" w:w="731"/>
            <w:tcMar>
              <w:top w:type="dxa" w:w="80"/>
              <w:left w:type="dxa" w:w="120"/>
              <w:bottom w:type="dxa" w:w="80"/>
              <w:right w:type="dxa" w:w="120"/>
            </w:tcMar>
          </w:tcPr>
          <w:p>
            <w:pPr>
              <w:jc w:val="right"/>
            </w:pPr>
            <w:r>
              <w:rPr>
                <w:b w:val="false"/>
                <w:bCs w:val="false"/>
                <w:color w:val="1A1A1A"/>
                <w:sz w:val="20"/>
                <w:szCs w:val="20"/>
              </w:rPr>
              <w:t xml:space="preserve">0.47</w:t>
            </w:r>
          </w:p>
        </w:tc>
        <w:tc>
          <w:tcPr>
            <w:tcW w:type="dxa" w:w="731"/>
            <w:tcMar>
              <w:top w:type="dxa" w:w="80"/>
              <w:left w:type="dxa" w:w="120"/>
              <w:bottom w:type="dxa" w:w="80"/>
              <w:right w:type="dxa" w:w="120"/>
            </w:tcMar>
          </w:tcPr>
          <w:p>
            <w:pPr>
              <w:jc w:val="right"/>
            </w:pPr>
            <w:r>
              <w:rPr>
                <w:b w:val="false"/>
                <w:bCs w:val="false"/>
                <w:color w:val="1A1A1A"/>
                <w:sz w:val="20"/>
                <w:szCs w:val="20"/>
              </w:rPr>
              <w:t xml:space="preserve">0.50</w:t>
            </w:r>
          </w:p>
        </w:tc>
        <w:tc>
          <w:tcPr>
            <w:tcW w:type="dxa" w:w="731"/>
            <w:tcMar>
              <w:top w:type="dxa" w:w="80"/>
              <w:left w:type="dxa" w:w="120"/>
              <w:bottom w:type="dxa" w:w="80"/>
              <w:right w:type="dxa" w:w="120"/>
            </w:tcMar>
          </w:tcPr>
          <w:p>
            <w:pPr>
              <w:jc w:val="right"/>
            </w:pPr>
            <w:r>
              <w:rPr>
                <w:b w:val="false"/>
                <w:bCs w:val="false"/>
                <w:color w:val="1A1A1A"/>
                <w:sz w:val="20"/>
                <w:szCs w:val="20"/>
              </w:rPr>
              <w:t xml:space="preserve">0.53</w:t>
            </w:r>
          </w:p>
        </w:tc>
        <w:tc>
          <w:tcPr>
            <w:tcW w:type="dxa" w:w="731"/>
            <w:tcMar>
              <w:top w:type="dxa" w:w="80"/>
              <w:left w:type="dxa" w:w="120"/>
              <w:bottom w:type="dxa" w:w="80"/>
              <w:right w:type="dxa" w:w="120"/>
            </w:tcMar>
          </w:tcPr>
          <w:p>
            <w:pPr>
              <w:jc w:val="right"/>
            </w:pPr>
            <w:r>
              <w:rPr>
                <w:b w:val="false"/>
                <w:bCs w:val="false"/>
                <w:color w:val="1A1A1A"/>
                <w:sz w:val="20"/>
                <w:szCs w:val="20"/>
              </w:rPr>
              <w:t xml:space="preserve">0.54</w:t>
            </w:r>
          </w:p>
        </w:tc>
        <w:tc>
          <w:tcPr>
            <w:tcW w:type="dxa" w:w="731"/>
            <w:tcMar>
              <w:top w:type="dxa" w:w="80"/>
              <w:left w:type="dxa" w:w="120"/>
              <w:bottom w:type="dxa" w:w="80"/>
              <w:right w:type="dxa" w:w="120"/>
            </w:tcMar>
          </w:tcPr>
          <w:p>
            <w:pPr>
              <w:jc w:val="right"/>
            </w:pPr>
            <w:r>
              <w:rPr>
                <w:b w:val="false"/>
                <w:bCs w:val="false"/>
                <w:color w:val="1A1A1A"/>
                <w:sz w:val="20"/>
                <w:szCs w:val="20"/>
              </w:rPr>
              <w:t xml:space="preserve">0.57</w:t>
            </w:r>
          </w:p>
        </w:tc>
        <w:tc>
          <w:tcPr>
            <w:tcW w:type="dxa" w:w="731"/>
            <w:tcMar>
              <w:top w:type="dxa" w:w="80"/>
              <w:left w:type="dxa" w:w="120"/>
              <w:bottom w:type="dxa" w:w="80"/>
              <w:right w:type="dxa" w:w="120"/>
            </w:tcMar>
          </w:tcPr>
          <w:p>
            <w:pPr>
              <w:jc w:val="right"/>
            </w:pPr>
            <w:r>
              <w:rPr>
                <w:b w:val="false"/>
                <w:bCs w:val="false"/>
                <w:color w:val="1A1A1A"/>
                <w:sz w:val="20"/>
                <w:szCs w:val="20"/>
              </w:rPr>
              <w:t xml:space="preserve">0.61</w:t>
            </w:r>
          </w:p>
        </w:tc>
        <w:tc>
          <w:tcPr>
            <w:tcW w:type="dxa" w:w="731"/>
            <w:tcMar>
              <w:top w:type="dxa" w:w="80"/>
              <w:left w:type="dxa" w:w="120"/>
              <w:bottom w:type="dxa" w:w="80"/>
              <w:right w:type="dxa" w:w="120"/>
            </w:tcMar>
          </w:tcPr>
          <w:p>
            <w:pPr>
              <w:jc w:val="right"/>
            </w:pPr>
            <w:r>
              <w:rPr>
                <w:b w:val="false"/>
                <w:bCs w:val="false"/>
                <w:color w:val="1A1A1A"/>
                <w:sz w:val="20"/>
                <w:szCs w:val="20"/>
              </w:rPr>
              <w:t xml:space="preserve">0.67</w:t>
            </w:r>
          </w:p>
        </w:tc>
        <w:tc>
          <w:tcPr>
            <w:tcW w:type="dxa" w:w="731"/>
            <w:tcMar>
              <w:top w:type="dxa" w:w="80"/>
              <w:left w:type="dxa" w:w="120"/>
              <w:bottom w:type="dxa" w:w="80"/>
              <w:right w:type="dxa" w:w="120"/>
            </w:tcMar>
          </w:tcPr>
          <w:p>
            <w:pPr>
              <w:jc w:val="right"/>
            </w:pPr>
            <w:r>
              <w:rPr>
                <w:b w:val="false"/>
                <w:bCs w:val="false"/>
                <w:color w:val="1A1A1A"/>
                <w:sz w:val="20"/>
                <w:szCs w:val="20"/>
              </w:rPr>
              <w:t xml:space="preserve">0.71</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Depreciation</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c>
          <w:tcPr>
            <w:tcW w:type="dxa" w:w="731"/>
            <w:tcMar>
              <w:top w:type="dxa" w:w="80"/>
              <w:left w:type="dxa" w:w="120"/>
              <w:bottom w:type="dxa" w:w="80"/>
              <w:right w:type="dxa" w:w="120"/>
            </w:tcMar>
          </w:tcPr>
          <w:p>
            <w:pPr>
              <w:jc w:val="right"/>
            </w:pPr>
            <w:r>
              <w:rPr>
                <w:b w:val="false"/>
                <w:bCs w:val="false"/>
                <w:color w:val="1A1A1A"/>
                <w:sz w:val="20"/>
                <w:szCs w:val="20"/>
              </w:rPr>
              <w:t xml:space="preserve">0.52</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Finance</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c>
          <w:tcPr>
            <w:tcW w:type="dxa" w:w="731"/>
            <w:tcMar>
              <w:top w:type="dxa" w:w="80"/>
              <w:left w:type="dxa" w:w="120"/>
              <w:bottom w:type="dxa" w:w="80"/>
              <w:right w:type="dxa" w:w="120"/>
            </w:tcMar>
          </w:tcPr>
          <w:p>
            <w:pPr>
              <w:jc w:val="right"/>
            </w:pPr>
            <w:r>
              <w:rPr>
                <w:b w:val="false"/>
                <w:bCs w:val="false"/>
                <w:color w:val="1A1A1A"/>
                <w:sz w:val="20"/>
                <w:szCs w:val="20"/>
              </w:rPr>
              <w:t xml:space="preserve">0.16</w:t>
            </w:r>
          </w:p>
        </w:tc>
      </w:tr>
      <w:tr>
        <w:tc>
          <w:tcPr>
            <w:tcW w:type="dxa" w:w="731"/>
            <w:tcMar>
              <w:top w:type="dxa" w:w="80"/>
              <w:left w:type="dxa" w:w="120"/>
              <w:bottom w:type="dxa" w:w="80"/>
              <w:right w:type="dxa" w:w="120"/>
            </w:tcMar>
          </w:tcPr>
          <w:p>
            <w:pPr>
              <w:jc w:val="left"/>
            </w:pPr>
            <w:r>
              <w:rPr>
                <w:b w:val="false"/>
                <w:bCs w:val="false"/>
                <w:color w:val="1A1A1A"/>
                <w:sz w:val="20"/>
                <w:szCs w:val="20"/>
              </w:rPr>
              <w:t xml:space="preserve">Other opex</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c>
          <w:tcPr>
            <w:tcW w:type="dxa" w:w="731"/>
            <w:tcMar>
              <w:top w:type="dxa" w:w="80"/>
              <w:left w:type="dxa" w:w="120"/>
              <w:bottom w:type="dxa" w:w="80"/>
              <w:right w:type="dxa" w:w="120"/>
            </w:tcMar>
          </w:tcPr>
          <w:p>
            <w:pPr>
              <w:jc w:val="right"/>
            </w:pPr>
            <w:r>
              <w:rPr>
                <w:b w:val="false"/>
                <w:bCs w:val="false"/>
                <w:color w:val="1A1A1A"/>
                <w:sz w:val="20"/>
                <w:szCs w:val="20"/>
              </w:rPr>
              <w:t xml:space="preserve">0.06</w:t>
            </w:r>
          </w:p>
        </w:tc>
      </w:tr>
      <w:tr>
        <w:tc>
          <w:tcPr>
            <w:tcW w:type="dxa" w:w="731"/>
            <w:tcMar>
              <w:top w:type="dxa" w:w="80"/>
              <w:left w:type="dxa" w:w="120"/>
              <w:bottom w:type="dxa" w:w="80"/>
              <w:right w:type="dxa" w:w="120"/>
            </w:tcMar>
          </w:tcPr>
          <w:p>
            <w:pPr>
              <w:jc w:val="left"/>
            </w:pPr>
            <w:r>
              <w:rPr>
                <w:b/>
                <w:bCs/>
                <w:color w:val="1A1A1A"/>
                <w:sz w:val="20"/>
                <w:szCs w:val="20"/>
              </w:rPr>
              <w:t xml:space="preserve">Total costs</w:t>
            </w:r>
          </w:p>
        </w:tc>
        <w:tc>
          <w:tcPr>
            <w:tcW w:type="dxa" w:w="731"/>
            <w:tcMar>
              <w:top w:type="dxa" w:w="80"/>
              <w:left w:type="dxa" w:w="120"/>
              <w:bottom w:type="dxa" w:w="80"/>
              <w:right w:type="dxa" w:w="120"/>
            </w:tcMar>
          </w:tcPr>
          <w:p>
            <w:pPr>
              <w:jc w:val="right"/>
            </w:pPr>
            <w:r>
              <w:rPr>
                <w:b/>
                <w:bCs/>
                <w:color w:val="1A1A1A"/>
                <w:sz w:val="20"/>
                <w:szCs w:val="20"/>
              </w:rPr>
              <w:t xml:space="preserve">2.55</w:t>
            </w:r>
          </w:p>
        </w:tc>
        <w:tc>
          <w:tcPr>
            <w:tcW w:type="dxa" w:w="731"/>
            <w:tcMar>
              <w:top w:type="dxa" w:w="80"/>
              <w:left w:type="dxa" w:w="120"/>
              <w:bottom w:type="dxa" w:w="80"/>
              <w:right w:type="dxa" w:w="120"/>
            </w:tcMar>
          </w:tcPr>
          <w:p>
            <w:pPr>
              <w:jc w:val="right"/>
            </w:pPr>
            <w:r>
              <w:rPr>
                <w:b/>
                <w:bCs/>
                <w:color w:val="1A1A1A"/>
                <w:sz w:val="20"/>
                <w:szCs w:val="20"/>
              </w:rPr>
              <w:t xml:space="preserve">2.57</w:t>
            </w:r>
          </w:p>
        </w:tc>
        <w:tc>
          <w:tcPr>
            <w:tcW w:type="dxa" w:w="731"/>
            <w:tcMar>
              <w:top w:type="dxa" w:w="80"/>
              <w:left w:type="dxa" w:w="120"/>
              <w:bottom w:type="dxa" w:w="80"/>
              <w:right w:type="dxa" w:w="120"/>
            </w:tcMar>
          </w:tcPr>
          <w:p>
            <w:pPr>
              <w:jc w:val="right"/>
            </w:pPr>
            <w:r>
              <w:rPr>
                <w:b/>
                <w:bCs/>
                <w:color w:val="1A1A1A"/>
                <w:sz w:val="20"/>
                <w:szCs w:val="20"/>
              </w:rPr>
              <w:t xml:space="preserve">2.62</w:t>
            </w:r>
          </w:p>
        </w:tc>
        <w:tc>
          <w:tcPr>
            <w:tcW w:type="dxa" w:w="731"/>
            <w:tcMar>
              <w:top w:type="dxa" w:w="80"/>
              <w:left w:type="dxa" w:w="120"/>
              <w:bottom w:type="dxa" w:w="80"/>
              <w:right w:type="dxa" w:w="120"/>
            </w:tcMar>
          </w:tcPr>
          <w:p>
            <w:pPr>
              <w:jc w:val="right"/>
            </w:pPr>
            <w:r>
              <w:rPr>
                <w:b/>
                <w:bCs/>
                <w:color w:val="1A1A1A"/>
                <w:sz w:val="20"/>
                <w:szCs w:val="20"/>
              </w:rPr>
              <w:t xml:space="preserve">2.65</w:t>
            </w:r>
          </w:p>
        </w:tc>
        <w:tc>
          <w:tcPr>
            <w:tcW w:type="dxa" w:w="731"/>
            <w:tcMar>
              <w:top w:type="dxa" w:w="80"/>
              <w:left w:type="dxa" w:w="120"/>
              <w:bottom w:type="dxa" w:w="80"/>
              <w:right w:type="dxa" w:w="120"/>
            </w:tcMar>
          </w:tcPr>
          <w:p>
            <w:pPr>
              <w:jc w:val="right"/>
            </w:pPr>
            <w:r>
              <w:rPr>
                <w:b/>
                <w:bCs/>
                <w:color w:val="1A1A1A"/>
                <w:sz w:val="20"/>
                <w:szCs w:val="20"/>
              </w:rPr>
              <w:t xml:space="preserve">2.66</w:t>
            </w:r>
          </w:p>
        </w:tc>
        <w:tc>
          <w:tcPr>
            <w:tcW w:type="dxa" w:w="731"/>
            <w:tcMar>
              <w:top w:type="dxa" w:w="80"/>
              <w:left w:type="dxa" w:w="120"/>
              <w:bottom w:type="dxa" w:w="80"/>
              <w:right w:type="dxa" w:w="120"/>
            </w:tcMar>
          </w:tcPr>
          <w:p>
            <w:pPr>
              <w:jc w:val="right"/>
            </w:pPr>
            <w:r>
              <w:rPr>
                <w:b/>
                <w:bCs/>
                <w:color w:val="1A1A1A"/>
                <w:sz w:val="20"/>
                <w:szCs w:val="20"/>
              </w:rPr>
              <w:t xml:space="preserve">2.69</w:t>
            </w:r>
          </w:p>
        </w:tc>
        <w:tc>
          <w:tcPr>
            <w:tcW w:type="dxa" w:w="731"/>
            <w:tcMar>
              <w:top w:type="dxa" w:w="80"/>
              <w:left w:type="dxa" w:w="120"/>
              <w:bottom w:type="dxa" w:w="80"/>
              <w:right w:type="dxa" w:w="120"/>
            </w:tcMar>
          </w:tcPr>
          <w:p>
            <w:pPr>
              <w:jc w:val="right"/>
            </w:pPr>
            <w:r>
              <w:rPr>
                <w:b/>
                <w:bCs/>
                <w:color w:val="1A1A1A"/>
                <w:sz w:val="20"/>
                <w:szCs w:val="20"/>
              </w:rPr>
              <w:t xml:space="preserve">2.72</w:t>
            </w:r>
          </w:p>
        </w:tc>
        <w:tc>
          <w:tcPr>
            <w:tcW w:type="dxa" w:w="731"/>
            <w:tcMar>
              <w:top w:type="dxa" w:w="80"/>
              <w:left w:type="dxa" w:w="120"/>
              <w:bottom w:type="dxa" w:w="80"/>
              <w:right w:type="dxa" w:w="120"/>
            </w:tcMar>
          </w:tcPr>
          <w:p>
            <w:pPr>
              <w:jc w:val="right"/>
            </w:pPr>
            <w:r>
              <w:rPr>
                <w:b/>
                <w:bCs/>
                <w:color w:val="1A1A1A"/>
                <w:sz w:val="20"/>
                <w:szCs w:val="20"/>
              </w:rPr>
              <w:t xml:space="preserve">2.73</w:t>
            </w:r>
          </w:p>
        </w:tc>
        <w:tc>
          <w:tcPr>
            <w:tcW w:type="dxa" w:w="731"/>
            <w:tcMar>
              <w:top w:type="dxa" w:w="80"/>
              <w:left w:type="dxa" w:w="120"/>
              <w:bottom w:type="dxa" w:w="80"/>
              <w:right w:type="dxa" w:w="120"/>
            </w:tcMar>
          </w:tcPr>
          <w:p>
            <w:pPr>
              <w:jc w:val="right"/>
            </w:pPr>
            <w:r>
              <w:rPr>
                <w:b/>
                <w:bCs/>
                <w:color w:val="1A1A1A"/>
                <w:sz w:val="20"/>
                <w:szCs w:val="20"/>
              </w:rPr>
              <w:t xml:space="preserve">2.76</w:t>
            </w:r>
          </w:p>
        </w:tc>
        <w:tc>
          <w:tcPr>
            <w:tcW w:type="dxa" w:w="731"/>
            <w:tcMar>
              <w:top w:type="dxa" w:w="80"/>
              <w:left w:type="dxa" w:w="120"/>
              <w:bottom w:type="dxa" w:w="80"/>
              <w:right w:type="dxa" w:w="120"/>
            </w:tcMar>
          </w:tcPr>
          <w:p>
            <w:pPr>
              <w:jc w:val="right"/>
            </w:pPr>
            <w:r>
              <w:rPr>
                <w:b/>
                <w:bCs/>
                <w:color w:val="1A1A1A"/>
                <w:sz w:val="20"/>
                <w:szCs w:val="20"/>
              </w:rPr>
              <w:t xml:space="preserve">2.80</w:t>
            </w:r>
          </w:p>
        </w:tc>
        <w:tc>
          <w:tcPr>
            <w:tcW w:type="dxa" w:w="731"/>
            <w:tcMar>
              <w:top w:type="dxa" w:w="80"/>
              <w:left w:type="dxa" w:w="120"/>
              <w:bottom w:type="dxa" w:w="80"/>
              <w:right w:type="dxa" w:w="120"/>
            </w:tcMar>
          </w:tcPr>
          <w:p>
            <w:pPr>
              <w:jc w:val="right"/>
            </w:pPr>
            <w:r>
              <w:rPr>
                <w:b/>
                <w:bCs/>
                <w:color w:val="1A1A1A"/>
                <w:sz w:val="20"/>
                <w:szCs w:val="20"/>
              </w:rPr>
              <w:t xml:space="preserve">2.86</w:t>
            </w:r>
          </w:p>
        </w:tc>
        <w:tc>
          <w:tcPr>
            <w:tcW w:type="dxa" w:w="731"/>
            <w:tcMar>
              <w:top w:type="dxa" w:w="80"/>
              <w:left w:type="dxa" w:w="120"/>
              <w:bottom w:type="dxa" w:w="80"/>
              <w:right w:type="dxa" w:w="120"/>
            </w:tcMar>
          </w:tcPr>
          <w:p>
            <w:pPr>
              <w:jc w:val="right"/>
            </w:pPr>
            <w:r>
              <w:rPr>
                <w:b/>
                <w:bCs/>
                <w:color w:val="1A1A1A"/>
                <w:sz w:val="20"/>
                <w:szCs w:val="20"/>
              </w:rPr>
              <w:t xml:space="preserve">2.90</w:t>
            </w:r>
          </w:p>
        </w:tc>
      </w:tr>
      <w:tr>
        <w:tc>
          <w:tcPr>
            <w:tcW w:type="dxa" w:w="731"/>
            <w:tcMar>
              <w:top w:type="dxa" w:w="80"/>
              <w:left w:type="dxa" w:w="120"/>
              <w:bottom w:type="dxa" w:w="80"/>
              <w:right w:type="dxa" w:w="120"/>
            </w:tcMar>
          </w:tcPr>
          <w:p>
            <w:pPr>
              <w:jc w:val="left"/>
            </w:pPr>
            <w:r>
              <w:rPr>
                <w:b/>
                <w:bCs/>
                <w:color w:val="1A1A1A"/>
                <w:sz w:val="20"/>
                <w:szCs w:val="20"/>
              </w:rPr>
              <w:t xml:space="preserve">Operating result</w:t>
            </w:r>
          </w:p>
        </w:tc>
        <w:tc>
          <w:tcPr>
            <w:tcW w:type="dxa" w:w="731"/>
            <w:tcMar>
              <w:top w:type="dxa" w:w="80"/>
              <w:left w:type="dxa" w:w="120"/>
              <w:bottom w:type="dxa" w:w="80"/>
              <w:right w:type="dxa" w:w="120"/>
            </w:tcMar>
          </w:tcPr>
          <w:p>
            <w:pPr>
              <w:jc w:val="right"/>
            </w:pPr>
            <w:r>
              <w:rPr>
                <w:b/>
                <w:bCs/>
                <w:color w:val="1A1A1A"/>
                <w:sz w:val="20"/>
                <w:szCs w:val="20"/>
              </w:rPr>
              <w:t xml:space="preserve">0.19</w:t>
            </w:r>
          </w:p>
        </w:tc>
        <w:tc>
          <w:tcPr>
            <w:tcW w:type="dxa" w:w="731"/>
            <w:tcMar>
              <w:top w:type="dxa" w:w="80"/>
              <w:left w:type="dxa" w:w="120"/>
              <w:bottom w:type="dxa" w:w="80"/>
              <w:right w:type="dxa" w:w="120"/>
            </w:tcMar>
          </w:tcPr>
          <w:p>
            <w:pPr>
              <w:jc w:val="right"/>
            </w:pPr>
            <w:r>
              <w:rPr>
                <w:b/>
                <w:bCs/>
                <w:color w:val="1A1A1A"/>
                <w:sz w:val="20"/>
                <w:szCs w:val="20"/>
              </w:rPr>
              <w:t xml:space="preserve">0.39</w:t>
            </w:r>
          </w:p>
        </w:tc>
        <w:tc>
          <w:tcPr>
            <w:tcW w:type="dxa" w:w="731"/>
            <w:tcMar>
              <w:top w:type="dxa" w:w="80"/>
              <w:left w:type="dxa" w:w="120"/>
              <w:bottom w:type="dxa" w:w="80"/>
              <w:right w:type="dxa" w:w="120"/>
            </w:tcMar>
          </w:tcPr>
          <w:p>
            <w:pPr>
              <w:jc w:val="right"/>
            </w:pPr>
            <w:r>
              <w:rPr>
                <w:b/>
                <w:bCs/>
                <w:color w:val="1A1A1A"/>
                <w:sz w:val="20"/>
                <w:szCs w:val="20"/>
              </w:rPr>
              <w:t xml:space="preserve">0.67</w:t>
            </w:r>
          </w:p>
        </w:tc>
        <w:tc>
          <w:tcPr>
            <w:tcW w:type="dxa" w:w="731"/>
            <w:tcMar>
              <w:top w:type="dxa" w:w="80"/>
              <w:left w:type="dxa" w:w="120"/>
              <w:bottom w:type="dxa" w:w="80"/>
              <w:right w:type="dxa" w:w="120"/>
            </w:tcMar>
          </w:tcPr>
          <w:p>
            <w:pPr>
              <w:jc w:val="right"/>
            </w:pPr>
            <w:r>
              <w:rPr>
                <w:b/>
                <w:bCs/>
                <w:color w:val="1A1A1A"/>
                <w:sz w:val="20"/>
                <w:szCs w:val="20"/>
              </w:rPr>
              <w:t xml:space="preserve">0.85</w:t>
            </w:r>
          </w:p>
        </w:tc>
        <w:tc>
          <w:tcPr>
            <w:tcW w:type="dxa" w:w="731"/>
            <w:tcMar>
              <w:top w:type="dxa" w:w="80"/>
              <w:left w:type="dxa" w:w="120"/>
              <w:bottom w:type="dxa" w:w="80"/>
              <w:right w:type="dxa" w:w="120"/>
            </w:tcMar>
          </w:tcPr>
          <w:p>
            <w:pPr>
              <w:jc w:val="right"/>
            </w:pPr>
            <w:r>
              <w:rPr>
                <w:b/>
                <w:bCs/>
                <w:color w:val="1A1A1A"/>
                <w:sz w:val="20"/>
                <w:szCs w:val="20"/>
              </w:rPr>
              <w:t xml:space="preserve">0.95</w:t>
            </w:r>
          </w:p>
        </w:tc>
        <w:tc>
          <w:tcPr>
            <w:tcW w:type="dxa" w:w="731"/>
            <w:tcMar>
              <w:top w:type="dxa" w:w="80"/>
              <w:left w:type="dxa" w:w="120"/>
              <w:bottom w:type="dxa" w:w="80"/>
              <w:right w:type="dxa" w:w="120"/>
            </w:tcMar>
          </w:tcPr>
          <w:p>
            <w:pPr>
              <w:jc w:val="right"/>
            </w:pPr>
            <w:r>
              <w:rPr>
                <w:b/>
                <w:bCs/>
                <w:color w:val="1A1A1A"/>
                <w:sz w:val="20"/>
                <w:szCs w:val="20"/>
              </w:rPr>
              <w:t xml:space="preserve">1.14</w:t>
            </w:r>
          </w:p>
        </w:tc>
        <w:tc>
          <w:tcPr>
            <w:tcW w:type="dxa" w:w="731"/>
            <w:tcMar>
              <w:top w:type="dxa" w:w="80"/>
              <w:left w:type="dxa" w:w="120"/>
              <w:bottom w:type="dxa" w:w="80"/>
              <w:right w:type="dxa" w:w="120"/>
            </w:tcMar>
          </w:tcPr>
          <w:p>
            <w:pPr>
              <w:jc w:val="right"/>
            </w:pPr>
            <w:r>
              <w:rPr>
                <w:b/>
                <w:bCs/>
                <w:color w:val="1A1A1A"/>
                <w:sz w:val="20"/>
                <w:szCs w:val="20"/>
              </w:rPr>
              <w:t xml:space="preserve">1.33</w:t>
            </w:r>
          </w:p>
        </w:tc>
        <w:tc>
          <w:tcPr>
            <w:tcW w:type="dxa" w:w="731"/>
            <w:tcMar>
              <w:top w:type="dxa" w:w="80"/>
              <w:left w:type="dxa" w:w="120"/>
              <w:bottom w:type="dxa" w:w="80"/>
              <w:right w:type="dxa" w:w="120"/>
            </w:tcMar>
          </w:tcPr>
          <w:p>
            <w:pPr>
              <w:jc w:val="right"/>
            </w:pPr>
            <w:r>
              <w:rPr>
                <w:b/>
                <w:bCs/>
                <w:color w:val="1A1A1A"/>
                <w:sz w:val="20"/>
                <w:szCs w:val="20"/>
              </w:rPr>
              <w:t xml:space="preserve">1.43</w:t>
            </w:r>
          </w:p>
        </w:tc>
        <w:tc>
          <w:tcPr>
            <w:tcW w:type="dxa" w:w="731"/>
            <w:tcMar>
              <w:top w:type="dxa" w:w="80"/>
              <w:left w:type="dxa" w:w="120"/>
              <w:bottom w:type="dxa" w:w="80"/>
              <w:right w:type="dxa" w:w="120"/>
            </w:tcMar>
          </w:tcPr>
          <w:p>
            <w:pPr>
              <w:jc w:val="right"/>
            </w:pPr>
            <w:r>
              <w:rPr>
                <w:b/>
                <w:bCs/>
                <w:color w:val="1A1A1A"/>
                <w:sz w:val="20"/>
                <w:szCs w:val="20"/>
              </w:rPr>
              <w:t xml:space="preserve">1.62</w:t>
            </w:r>
          </w:p>
        </w:tc>
        <w:tc>
          <w:tcPr>
            <w:tcW w:type="dxa" w:w="731"/>
            <w:tcMar>
              <w:top w:type="dxa" w:w="80"/>
              <w:left w:type="dxa" w:w="120"/>
              <w:bottom w:type="dxa" w:w="80"/>
              <w:right w:type="dxa" w:w="120"/>
            </w:tcMar>
          </w:tcPr>
          <w:p>
            <w:pPr>
              <w:jc w:val="right"/>
            </w:pPr>
            <w:r>
              <w:rPr>
                <w:b/>
                <w:bCs/>
                <w:color w:val="1A1A1A"/>
                <w:sz w:val="20"/>
                <w:szCs w:val="20"/>
              </w:rPr>
              <w:t xml:space="preserve">1.91</w:t>
            </w:r>
          </w:p>
        </w:tc>
        <w:tc>
          <w:tcPr>
            <w:tcW w:type="dxa" w:w="731"/>
            <w:tcMar>
              <w:top w:type="dxa" w:w="80"/>
              <w:left w:type="dxa" w:w="120"/>
              <w:bottom w:type="dxa" w:w="80"/>
              <w:right w:type="dxa" w:w="120"/>
            </w:tcMar>
          </w:tcPr>
          <w:p>
            <w:pPr>
              <w:jc w:val="right"/>
            </w:pPr>
            <w:r>
              <w:rPr>
                <w:b/>
                <w:bCs/>
                <w:color w:val="1A1A1A"/>
                <w:sz w:val="20"/>
                <w:szCs w:val="20"/>
              </w:rPr>
              <w:t xml:space="preserve">2.29</w:t>
            </w:r>
          </w:p>
        </w:tc>
        <w:tc>
          <w:tcPr>
            <w:tcW w:type="dxa" w:w="731"/>
            <w:tcMar>
              <w:top w:type="dxa" w:w="80"/>
              <w:left w:type="dxa" w:w="120"/>
              <w:bottom w:type="dxa" w:w="80"/>
              <w:right w:type="dxa" w:w="120"/>
            </w:tcMar>
          </w:tcPr>
          <w:p>
            <w:pPr>
              <w:jc w:val="right"/>
            </w:pPr>
            <w:r>
              <w:rPr>
                <w:b/>
                <w:bCs/>
                <w:color w:val="1A1A1A"/>
                <w:sz w:val="20"/>
                <w:szCs w:val="20"/>
              </w:rPr>
              <w:t xml:space="preserve">2.58</w:t>
            </w:r>
          </w:p>
        </w:tc>
      </w:tr>
    </w:tbl>
    <w:p>
      <w:pPr>
        <w:spacing w:after="120"/>
      </w:pPr>
      <w:r>
        <w:t xml:space="preserve"/>
      </w:r>
    </w:p>
    <w:p>
      <w:pPr>
        <w:spacing w:after="140"/>
      </w:pPr>
      <w:r>
        <w:rPr>
          <w:color w:val="1A1A1A"/>
          <w:sz w:val="21"/>
          <w:szCs w:val="21"/>
        </w:rPr>
        <w:t xml:space="preserve">REV6 Reference: 2028 annual revenue is 49.3 MNOK with 5 CNC at 37.5% average utilization. This monthly model totals approximately 47.9 MNOK, which reflects illustrative monthly timing and conservative intra-month ramp rates. The 1.4 MNOK difference reflects timing assumptions and represents the accuracy envelope of monthly-level projections.</w:t>
      </w:r>
    </w:p>
    <w:p>
      <w:r>
        <w:br w:type="page"/>
      </w:r>
    </w:p>
    <w:p>
      <w:pPr>
        <w:pStyle w:val="Heading1"/>
        <w:spacing w:before="240" w:after="120"/>
      </w:pPr>
      <w:r>
        <w:rPr>
          <w:b/>
          <w:bCs/>
          <w:color w:val="FF3E00"/>
          <w:sz w:val="28"/>
          <w:szCs w:val="28"/>
        </w:rPr>
        <w:t xml:space="preserve">4. Cash Position &amp; Runway Analysis</w:t>
      </w:r>
    </w:p>
    <w:p>
      <w:pPr>
        <w:pStyle w:val="Heading2"/>
        <w:spacing w:before="200" w:after="100"/>
      </w:pPr>
      <w:r>
        <w:rPr>
          <w:b/>
          <w:bCs/>
          <w:color w:val="333333"/>
          <w:sz w:val="24"/>
          <w:szCs w:val="24"/>
        </w:rPr>
        <w:t xml:space="preserve">4.1 Year 1 (H2 2027): Pre-Revenue to Break-Even Ramp</w:t>
      </w:r>
    </w:p>
    <w:p>
      <w:pPr>
        <w:spacing w:after="140"/>
      </w:pPr>
      <w:r>
        <w:rPr>
          <w:color w:val="1A1A1A"/>
          <w:sz w:val="21"/>
          <w:szCs w:val="21"/>
        </w:rPr>
        <w:t xml:space="preserve">During the Seed period (H2 2027), the company operates at a cumulative loss of 4.5 MNOK across the six operational months. This loss is expected and fully covered by the Seed capital raise. The monthly loss shrinks from 1.30 MNOK in July (pre-revenue) to 0.10 MNOK in December, demonstrating rapid operating leverage as machines come online and utilization increases. The 10 MNOK Seed operating buffer provides ample coverage for facility fit-out, equipment commissioning, and customer ramp costs.</w:t>
      </w:r>
    </w:p>
    <w:p>
      <w:pPr>
        <w:pStyle w:val="Heading2"/>
        <w:spacing w:before="200" w:after="100"/>
      </w:pPr>
      <w:r>
        <w:rPr>
          <w:b/>
          <w:bCs/>
          <w:color w:val="333333"/>
          <w:sz w:val="24"/>
          <w:szCs w:val="24"/>
        </w:rPr>
        <w:t xml:space="preserve">4.2 Year 2 (2028): Path to Cash-Flow Positive</w:t>
      </w:r>
    </w:p>
    <w:p>
      <w:pPr>
        <w:spacing w:after="140"/>
      </w:pPr>
      <w:r>
        <w:rPr>
          <w:color w:val="1A1A1A"/>
          <w:sz w:val="21"/>
          <w:szCs w:val="21"/>
        </w:rPr>
        <w:t xml:space="preserve">Year 2 shows the company reaching operating cash-flow positive status by January 2028 at ~25% utilization on 5 CNC machines. Monthly operating profit grows from 0.19 MNOK in January to 2.58 MNOK in December. The cumulative operating result across all 12 months is 15.36 MNOK, demonstrating that the company can self-sustain operations and begin accumulating capital for growth by mid-2028.</w:t>
      </w:r>
    </w:p>
    <w:p>
      <w:pPr>
        <w:pStyle w:val="Heading2"/>
        <w:spacing w:before="200" w:after="100"/>
      </w:pPr>
      <w:r>
        <w:rPr>
          <w:b/>
          <w:bCs/>
          <w:color w:val="333333"/>
          <w:sz w:val="24"/>
          <w:szCs w:val="24"/>
        </w:rPr>
        <w:t xml:space="preserve">4.3 Key Break-Even Milestones</w:t>
      </w:r>
    </w:p>
    <w:p>
      <w:pPr>
        <w:spacing w:after="140"/>
      </w:pPr>
      <w:r>
        <w:rPr>
          <w:color w:val="1A1A1A"/>
          <w:sz w:val="21"/>
          <w:szCs w:val="21"/>
        </w:rPr>
        <w:t xml:space="preserve">REV6 establishes that the Seed configuration (5 CNC machines) reaches operational break-even at approximately 24% utilization. January 2028 at 25% utilization validates this benchmark. The company turns profitable in the very first full month of two-machine operations (February 2028 at 27% utilization).</w:t>
      </w:r>
    </w:p>
    <w:p>
      <w:pPr>
        <w:pStyle w:val="Heading2"/>
        <w:spacing w:before="200" w:after="100"/>
      </w:pPr>
      <w:r>
        <w:rPr>
          <w:b/>
          <w:bCs/>
          <w:color w:val="333333"/>
          <w:sz w:val="24"/>
          <w:szCs w:val="24"/>
        </w:rPr>
        <w:t xml:space="preserve">4.4 Series A Deployment &amp; Scaling</w:t>
      </w:r>
    </w:p>
    <w:p>
      <w:pPr>
        <w:spacing w:after="140"/>
      </w:pPr>
      <w:r>
        <w:rPr>
          <w:color w:val="1A1A1A"/>
          <w:sz w:val="21"/>
          <w:szCs w:val="21"/>
        </w:rPr>
        <w:t xml:space="preserve">Serie A Tranche 1 (5 additional CNC machines) is ordered in Q4 2028 for delivery and commissioning in Q1 2029. This tranche will be funded by Series A capital (approximately 45 MNOK in equity). The company enters the Series A period with a positive cash position from H2 2028 operations, reducing dependence on working capital loans and positioning it for the next phase of growth.</w:t>
      </w:r>
    </w:p>
    <w:p>
      <w:pPr>
        <w:pStyle w:val="Heading2"/>
        <w:spacing w:before="200" w:after="100"/>
      </w:pPr>
      <w:r>
        <w:rPr>
          <w:b/>
          <w:bCs/>
          <w:color w:val="333333"/>
          <w:sz w:val="24"/>
          <w:szCs w:val="24"/>
        </w:rPr>
        <w:t xml:space="preserve">4.5 Self-Funded Scaling &amp; Terminal State</w:t>
      </w:r>
    </w:p>
    <w:p>
      <w:pPr>
        <w:spacing w:after="140"/>
      </w:pPr>
      <w:r>
        <w:rPr>
          <w:color w:val="1A1A1A"/>
          <w:sz w:val="21"/>
          <w:szCs w:val="21"/>
        </w:rPr>
        <w:t xml:space="preserve">REV6 forecasts that the company will achieve self-funded scaling capability from approximately 2030 onward. After Series A deployment (15 machines total), the company will generate sufficient EBITDA to fund the transition to 20 and eventually 25 machines without requiring external equity or debt beyond the existing debt facility.</w:t>
      </w:r>
    </w:p>
    <w:p>
      <w:pPr>
        <w:pStyle w:val="Heading2"/>
        <w:spacing w:before="200" w:after="100"/>
      </w:pPr>
      <w:r>
        <w:rPr>
          <w:b/>
          <w:bCs/>
          <w:color w:val="333333"/>
          <w:sz w:val="24"/>
          <w:szCs w:val="24"/>
        </w:rPr>
        <w:t xml:space="preserve">4.6 Key Takeaways</w:t>
      </w:r>
    </w:p>
    <w:p>
      <w:pPr>
        <w:pStyle w:val="ListParagraph"/>
        <w:numPr>
          <w:ilvl w:val="0"/>
          <w:numId w:val="2"/>
        </w:numPr>
      </w:pPr>
      <w:r>
        <w:t xml:space="preserve">Seed cash provides complete runway through commissioning and early operations. No refinancing needed during H2 2027.</w:t>
      </w:r>
    </w:p>
    <w:p>
      <w:pPr>
        <w:pStyle w:val="ListParagraph"/>
        <w:numPr>
          <w:ilvl w:val="0"/>
          <w:numId w:val="2"/>
        </w:numPr>
      </w:pPr>
      <w:r>
        <w:t xml:space="preserve">Monthly operating result turns positive in January 2028 at 25% utilization on the Seed (5 CNC) configuration.</w:t>
      </w:r>
    </w:p>
    <w:p>
      <w:pPr>
        <w:pStyle w:val="ListParagraph"/>
        <w:numPr>
          <w:ilvl w:val="0"/>
          <w:numId w:val="2"/>
        </w:numPr>
      </w:pPr>
      <w:r>
        <w:t xml:space="preserve">Break-even at ~24% utilization validates conservative ramp assumptions and de-risks the operational forecast.</w:t>
      </w:r>
    </w:p>
    <w:p>
      <w:pPr>
        <w:pStyle w:val="ListParagraph"/>
        <w:numPr>
          <w:ilvl w:val="0"/>
          <w:numId w:val="2"/>
        </w:numPr>
      </w:pPr>
      <w:r>
        <w:t xml:space="preserve">Serie A Tranche 1 machines are ordered Q4 2028, operational Q1 2029. Company enters Series A phase with positive cash position.</w:t>
      </w:r>
    </w:p>
    <w:p>
      <w:pPr>
        <w:pStyle w:val="ListParagraph"/>
        <w:numPr>
          <w:ilvl w:val="0"/>
          <w:numId w:val="2"/>
        </w:numPr>
      </w:pPr>
      <w:r>
        <w:t xml:space="preserve">Self-funded scaling capability emerges from 2030, reducing dependence on external capital as the company approaches 20–25 CNC terminal state.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Aurelian Manufacturing  |  VDR 02 — Financial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2026-02-13T10:38:09.480Z</dcterms:created>
  <dcterms:modified xsi:type="dcterms:W3CDTF">2026-02-13T10:38:09.480Z</dcterms:modified>
</cp:coreProperties>
</file>

<file path=docProps/custom.xml><?xml version="1.0" encoding="utf-8"?>
<Properties xmlns="http://schemas.openxmlformats.org/officeDocument/2006/custom-properties" xmlns:vt="http://schemas.openxmlformats.org/officeDocument/2006/docPropsVTypes"/>
</file>