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F3E00"/>
          <w:sz w:val="44"/>
          <w:szCs w:val="44"/>
        </w:rPr>
        <w:t xml:space="preserve">Aurelian Manufacturing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333333"/>
          <w:sz w:val="28"/>
          <w:szCs w:val="28"/>
        </w:rPr>
        <w:t xml:space="preserve">REV6 Compliance Verification Report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10 Draft VDR Documents vs. Economic Tables REV6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February 2026  |  Confidential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1. Executive Summary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report verifies all 10 draft VDR documents against the frozen reference document: 02_Economic_Tables_Projections_REV6. The REV6 document contains 17 validation checkpoints and detailed financial projections that serve as the single source of truth for all Aurelian investor materials.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Verification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Numbers Compliance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 Compliance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PASS: 3/10  |  WARN: 2/10  |  FAIL: 5/10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PASS: 2/10  |  FIXED: 7/10  |  WARN: 1/10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Critical Findings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62828"/>
          <w:sz w:val="21"/>
          <w:szCs w:val="21"/>
        </w:rPr>
        <w:t xml:space="preserve">4 documents have CRITICAL number deviations requiring immediate action:</w:t>
      </w:r>
    </w:p>
    <w:p>
      <w:pPr>
        <w:spacing w:after="80"/>
        <w:ind w:left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DRAFT_02_Model_Assumptions (Grunnlag)</w:t>
      </w:r>
      <w:r>
        <w:rPr>
          <w:rFonts w:ascii="Calibri" w:cs="Calibri" w:eastAsia="Calibri" w:hAnsi="Calibri"/>
          <w:sz w:val="20"/>
          <w:szCs w:val="20"/>
        </w:rPr>
        <w:t xml:space="preserve"> — Contains KOMPLETT-era numbers throughout. 2028: 8 CNC/73 MNOK (should be 5 CNC/49.3 MNOK). Accumulated profit 1,094 MNOK (should be 1,254 MNOK). Requires FULL REWRITE.</w:t>
      </w:r>
    </w:p>
    <w:p>
      <w:pPr>
        <w:spacing w:after="80"/>
        <w:ind w:left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DRAFT_02_Monthly_Cash_Flow_Year1_Year2</w:t>
      </w:r>
      <w:r>
        <w:rPr>
          <w:rFonts w:ascii="Calibri" w:cs="Calibri" w:eastAsia="Calibri" w:hAnsi="Calibri"/>
          <w:sz w:val="20"/>
          <w:szCs w:val="20"/>
        </w:rPr>
        <w:t xml:space="preserve"> — Revenue calculations ~10x too low (2028: 8.15 MNOK shown vs 49.3 MNOK REV6). CNC deployment timeline wrong (5→10 in 2028, should stay at 5). Requires FULL REWRITE.</w:t>
      </w:r>
    </w:p>
    <w:p>
      <w:pPr>
        <w:spacing w:after="80"/>
        <w:ind w:left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DRAFT_02_Valuation_Methodology_Revidert</w:t>
      </w:r>
      <w:r>
        <w:rPr>
          <w:rFonts w:ascii="Calibri" w:cs="Calibri" w:eastAsia="Calibri" w:hAnsi="Calibri"/>
          <w:sz w:val="20"/>
          <w:szCs w:val="20"/>
        </w:rPr>
        <w:t xml:space="preserve"> — Pre-Seed pre-money 15.7 MNOK (should be 25 MNOK). Serie A pre-money 350 MNOK (should be 250 MNOK). Exit distribution and ROI figures cascade into errors. Requires targeted fixes.</w:t>
      </w:r>
    </w:p>
    <w:p>
      <w:pPr>
        <w:spacing w:after="200"/>
        <w:ind w:left="3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DRAFT_00_Executive_Summary + Investment_Teaser</w:t>
      </w:r>
      <w:r>
        <w:rPr>
          <w:rFonts w:ascii="Calibri" w:cs="Calibri" w:eastAsia="Calibri" w:hAnsi="Calibri"/>
          <w:sz w:val="20"/>
          <w:szCs w:val="20"/>
        </w:rPr>
        <w:t xml:space="preserve"> — 2030 scaling shows 15 CNC/~187 MNOK (should be 17 CNC/212 MNOK). Staff trajectory wrong across multiple years. Requires table corrections.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1.3 Design Fixes Applied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8 of 10 documents had incorrect design (blue headings #2E74B5 instead of orange #FF3E00, and/or light blue table headers #D5E8F0 instead of orange). 7 documents were successfully fixed by updating styles.xml and table shading. 1 document (Monthly Cash Flow) uses inline formatting and needs to be rebuilt. 2 documents (Valuation Methodology and Market Analysis) already had correct design.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2. Document Status Matrix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3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Numbers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00_Company_Fact_Sheet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checkpoints verified.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00_Executive_Summary_2page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CRITICAL: 2030 shows 15 CNC / ~187 MNOK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00_Investment_Teaser_OnePager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2030 scaling path shows 15 CNC / ~187M revenue.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02_CAPEX_Breakdown_By_Phase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WARN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Most numbers correct (CAPEX 10 MNOK, debt 5/7 MNOK, shop base 8.6 MNOK, total equity 101.3 MNOK).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02_Model_Assumptions (Grunnlag)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 — KOMPLETT-ERA DOCUMENT.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02_Monthly_Cash_Flow_Year1_Year2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WARN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 CALCULATION ERROR.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02_Valuation_Methodology_Revidert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18"/>
                <w:szCs w:val="18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CRITICAL: Pre-Seed pre-money shown as 15.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03_Market_Analysis_Master_Report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checkpoints verified.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04_Facility_Strategy_Norbygg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 checkpoints verified.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08_DD_Checklist_PreSeed_Round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WARN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565C0"/>
                <w:sz w:val="18"/>
                <w:szCs w:val="18"/>
              </w:rPr>
              <w:t xml:space="preserve">FIXED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Pre-money 25 MNOK correct. Facility 5.2 MNOK correct. Break-even ~24% correct. Minor: Pre-Seed target listed as "3-5 MNOK" — REV6 says exactly 5 MNOK. Advisor names (Vartdal/Rønnestad/Skauen) differ from other documents (Torsnes/Vangsal/Mollatt) — factual inconsistency.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3. Detailed Findings per Document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00_Company_Fact_Sheet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[PASS]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All 17 REV6 checkpoints verified. Revenue ~315 MNOK, cost ~92.75 MNOK, break-even ~24%, exit 2.3B, accumulated profit ~1,254 MNOK, CAPEX 10 MNOK, founders 50.6%. Serie A pre-money shown as "TBD" (acceptable for Pre-Seed stage).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[FIXED]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FIXED: Heading 1 changed from blue #2E74B5/size 32 to orange #FF3E00/size 28/bold. Heading 2 changed from blue to dark #333333/size 24/bold. Table headers were already correct (orange).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00_Executive_Summary_2page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[FAIL]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CRITICAL: 2030 shows 15 CNC / ~187 MNOK revenue. REV6 says 17 avg CNC / 212 MNOK. Staff numbers wrong: 2027 shows "4+" (REV6: 10 FTE), 2028 shows 8 (REV6: 10), 2030 shows 16 (REV6: 17), 2032 shows 20 (REV6: 24).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[FIXED]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FIXED: Headings changed from blue to orange/dark. Table headers changed from light blue #D5E8F0 to orange #FF3E00 with white text.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00_Investment_Teaser_OnePager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[FAIL]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2030 scaling path shows 15 CNC / ~187M revenue. REV6 says 17 avg CNC / 212 MNOK. Same issue as Executive Summary.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[FIXED]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FIXED: Headings changed from blue to orange/dark. Table headers changed from light blue to orange with white text.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02_CAPEX_Breakdown_By_Phase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[WARN]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Most numbers correct (CAPEX 10 MNOK, debt 5/7 MNOK, shop base 8.6 MNOK, total equity 101.3 MNOK). WARNING: Operating buffer listed as 7 MNOK — REV6 Section 7.2 shows Buffer: 10 MNOK. Pre-Seed listed as "3-5 MNOK" — REV6 says exactly 5 MNOK.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[FIXED]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FIXED: Headings changed from blue to orange/dark. Table headers were already correct (orange).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02_Model_Assumptions (Grunnlag)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[FAIL]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CRITICAL — KOMPLETT-ERA DOCUMENT. Almost all numbers are pre-REV6: 2028 shows 8 CNC/35%/73 MNOK (REV6: 5 CNC/37.5%/49.3 MNOK). Fixed costs listed as ~102.5 MNOK (REV6 total cost: ~92.75 MNOK). Utilization ramp uses 35%/40%/45%/50% (REV6: 37.5%/42.5%/47.5%/52.5%). Accumulated profit: 1,094 MNOK (REV6: 1,254 MNOK). THIS DOCUMENT NEEDS FULL REWRITE.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[FIXED]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FIXED: Headings changed from blue to orange/dark. Table headers changed from light blue to orange with white text.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02_Monthly_Cash_Flow_Year1_Year2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[FAIL]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CRITICAL CALCULATION ERROR. Revenue figures are approximately 10x too low. 2028 total revenue shown as 8.15 MNOK — REV6 says 49.3 MNOK. 2027 H2 shown as 0.91 MNOK — REV6 says 10.9 MNOK. Year 2 shows CNC going from 5→10, but REV6 says 5 CNC throughout 2028 (Tranche 1 arrives Q4 2028). Variable cost shows 12% for Year 2 — REV6 says 13% for 2027-2028. THIS DOCUMENT NEEDS FULL REWRITE.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[WARN]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WARNING: Document uses inline formatting without standard Heading styles in styles.xml. Cannot be fixed by style override alone — needs to be rebuilt with proper heading styles. Table headers are correct (orange).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02_Valuation_Methodology_Revidert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[FAIL]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CRITICAL: Pre-Seed pre-money shown as 15.7 MNOK (REV6: 25 MNOK). Pre-Seed dilution 24.2% (REV6: 16.67%). Serie A pre-money shown as 350 MNOK (REV6: 250 MNOK). Serie A dilution 11.4% (REV6: 15.25%). Exit distribution wrong: Pre-Seed ~278M (REV6: ~233M), Serie A ~262M/5.8x ROI (REV6: ~351M/7.8x). Seed and cost structure sections are correct.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[PASS]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 already compliant: Orange heading overrides present, orange table headers with white text.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03_Market_Analysis_Master_Report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[PASS]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All key numbers verified: Revenue formula 8,760 x util% x 3,000 NOK, revenue at 20 CNC/60% = ~315 MNOK, CAPEX 10 MNOK, staff ratio 0.8, 50/50 sharing above 45%, utilization target 60-65%. TAM/SAM/SOM consistent. Minor: Hadrian shown as ~3.6B USD (other docs show $1.6B — factual discrepancy across docs, not REV6 issue).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[PASS]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Design already compliant: Orange heading overrides present.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04_Facility_Strategy_Norbygg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[PASS]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Facility lease: 5.2 MNOK/yr — matches REV6 checkpoint. Document is primarily qualitative with limited financial content. No deviations found.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[FIXED]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FIXED: Headings changed from blue to orange/dark. No tables in document.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08_DD_Checklist_PreSeed_Round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Numbers: </w:t>
      </w: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[WARN]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Pre-money 25 MNOK correct. Facility 5.2 MNOK correct. Break-even ~24% correct. Minor: Pre-Seed target listed as "3-5 MNOK" — REV6 says exactly 5 MNOK. Advisor names (Vartdal/Rønnestad/Skauen) differ from other documents (Torsnes/Vangsal/Mollatt) — factual inconsistency.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Design: </w:t>
      </w:r>
      <w:r>
        <w:rPr>
          <w:rFonts w:ascii="Calibri" w:cs="Calibri" w:eastAsia="Calibri" w:hAnsi="Calibri"/>
          <w:b/>
          <w:bCs/>
          <w:color w:val="1565C0"/>
          <w:sz w:val="20"/>
          <w:szCs w:val="20"/>
        </w:rPr>
        <w:t xml:space="preserve">[FIXED]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FIXED: Headings changed from blue to orange/dark. Table headers were already correct (orange).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4. REV6 Validation Checkpoints Used</w:t>
      </w:r>
    </w:p>
    <w:p>
      <w:pPr>
        <w:spacing w:after="12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document was verified against these 17 frozen checkpoints from Section 8 of Economic Tables REV6: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53"/>
        <w:gridCol w:w="4453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Checkpoint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REV6 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Revenue at 20 CNC, 60% utilization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~315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cost at 20 CNC steady state (8% var)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~92.75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Break-even at 5 CNC (Seed config)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~24% utilization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Staff ratio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0.8 FTE per CNC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Variable cost (steady state)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8% (from 13% startup)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Exit valuation (base case)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2.3B NOK at 10x EBITDA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Founders post-Serie A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50.6%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Accumulated profit 2027-2035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~1,254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Seed pre-money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130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CAPEX per CNC (incl. automation)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First revenue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August 2027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Seed machines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 CNC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Serie A machines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 CNC (3x5 tranches)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Total equity raised (all rounds)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101.3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Self-funded scaling capability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From ~2030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Shop base setup (per site)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8.6 MNOK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Founder contribution valuation basis</w:t>
            </w:r>
          </w:p>
        </w:tc>
        <w:tc>
          <w:tcPr>
            <w:tcW w:type="dxa" w:w="4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See VDR 2.3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5. Recommended Actions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Priority 1 — Immediate Rewrites Required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1. REWRITE DRAFT_02_Model_Assumptions (Grunnlag) — Entire document uses KOMPLETT-era CNC counts, utilization ramp, and cost structure. Must be rebuilt from FM8/REV6 with correct 5-CNC Seed config and REV6 trajectory.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2. REWRITE DRAFT_02_Monthly_Cash_Flow — Revenue calculations fundamentally broken (~10x too low). CNC deployment timeline contradicts REV6. Must be rebuilt with correct hourly rate formula (8,760 x util% x 3,000 NOK) and 5-CNC-only 2028 configuration.</w:t>
      </w:r>
    </w:p>
    <w:p>
      <w:pPr>
        <w:spacing w:after="2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E65100"/>
          <w:sz w:val="22"/>
          <w:szCs w:val="22"/>
        </w:rPr>
        <w:t xml:space="preserve">Priority 2 — Targeted Corrections Required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3. FIX DRAFT_02_Valuation_Methodology — Update Pre-Seed pre-money from 15.7 to 25 MNOK, Serie A pre-money from 350 to 250 MNOK. Recalculate all downstream dilution and exit distribution.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4. FIX DRAFT_00_Executive_Summary + Investment_Teaser — Update 2030 row: CNC 17 (avg), Revenue ~212 MNOK. Fix staff trajectory across all years to match REV6 Section 2.3.</w:t>
      </w:r>
    </w:p>
    <w:p>
      <w:pPr>
        <w:spacing w:after="200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Priority 3 — Minor Corrections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5. UPDATE DRAFT_02_CAPEX_Breakdown — Change operating buffer from 7 MNOK to 10 MNOK (REV6 Section 7.2). Specify Pre-Seed as exactly 5 MNOK instead of "3-5 MNOK".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6. UPDATE DRAFT_08_DD_Checklist — Specify Pre-Seed as exactly 5 MNOK. Verify advisor names for consistency with other documents.</w:t>
      </w:r>
    </w:p>
    <w:p>
      <w:pPr>
        <w:spacing w:after="80"/>
        <w:ind w:left="300"/>
      </w:pPr>
      <w:r>
        <w:rPr>
          <w:rFonts w:ascii="Calibri" w:cs="Calibri" w:eastAsia="Calibri" w:hAnsi="Calibri"/>
          <w:sz w:val="20"/>
          <w:szCs w:val="20"/>
        </w:rPr>
        <w:t xml:space="preserve">7. REBUILD DRAFT_02_Monthly_Cash_Flow design — Current document uses inline formatting without proper heading styles. Needs structural rebuild for consistent Aurelian design.</w:t>
      </w:r>
    </w:p>
    <w:p>
      <w:pPr>
        <w:spacing w:after="300"/>
      </w:pPr>
    </w:p>
    <w:p>
      <w:pPr>
        <w:pBdr>
          <w:top w:val="single" w:color="FF3E00" w:sz="2"/>
        </w:pBdr>
        <w:spacing w:before="4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Report generated: 13 February 2026  |  Reference: 02_Economic_Tables_Projections_REV6  |  Classification: Confidential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Aurelian Manufacturing  |  REV6 Compliance Audit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FF3E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2026-02-13T10:25:17.738Z</dcterms:created>
  <dcterms:modified xsi:type="dcterms:W3CDTF">2026-02-13T10:25:17.738Z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