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00"/>
        <w:jc w:val="center"/>
        <w:rPr>
          <w:rFonts w:ascii="Calibri" w:cs="Calibri" w:eastAsia="Calibri" w:hAnsi="Calibri"/>
          <w:b/>
          <w:bCs/>
          <w:color w:val="FF3E00"/>
          <w:sz w:val="88"/>
          <w:szCs w:val="88"/>
        </w:rPr>
      </w:pPr>
      <w:r>
        <w:t xml:space="preserve">Aurelian Manufacturing</w:t>
      </w:r>
    </w:p>
    <w:p>
      <w:pPr>
        <w:spacing w:after="100"/>
        <w:jc w:val="center"/>
        <w:rPr>
          <w:rFonts w:ascii="Calibri" w:cs="Calibri" w:eastAsia="Calibri" w:hAnsi="Calibri"/>
          <w:color w:val="333333"/>
          <w:sz w:val="68"/>
          <w:szCs w:val="68"/>
        </w:rPr>
      </w:pPr>
      <w:r>
        <w:t xml:space="preserve">CAPEX Breakdown by Phase</w:t>
      </w:r>
    </w:p>
    <w:p>
      <w:pPr>
        <w:spacing w:after="100"/>
        <w:jc w:val="center"/>
        <w:rPr>
          <w:rFonts w:ascii="Calibri" w:cs="Calibri" w:eastAsia="Calibri" w:hAnsi="Calibri"/>
          <w:color w:val="333333"/>
          <w:sz w:val="68"/>
          <w:szCs w:val="68"/>
        </w:rPr>
      </w:pPr>
      <w:r>
        <w:t xml:space="preserve">Investment Schedule &amp; Machine Deployment</w:t>
      </w:r>
    </w:p>
    <w:p>
      <w:pPr>
        <w:spacing w:before="200" w:after="100"/>
        <w:jc w:val="center"/>
        <w:rPr>
          <w:rFonts w:ascii="Calibri" w:cs="Calibri" w:eastAsia="Calibri" w:hAnsi="Calibri"/>
          <w:color w:val="666666"/>
          <w:sz w:val="48"/>
          <w:szCs w:val="48"/>
        </w:rPr>
      </w:pPr>
      <w:r>
        <w:t xml:space="preserve">February 2026</w:t>
      </w:r>
    </w:p>
    <w:p/>
    <w:p>
      <w:pPr>
        <w:jc w:val="center"/>
        <w:rPr>
          <w:rFonts w:ascii="Calibri" w:cs="Calibri" w:eastAsia="Calibri" w:hAnsi="Calibri"/>
          <w:b/>
          <w:bCs/>
          <w:color w:val="999999"/>
          <w:sz w:val="42"/>
          <w:szCs w:val="42"/>
        </w:rPr>
      </w:pPr>
      <w:r>
        <w:t xml:space="preserve">Confidential</w:t>
      </w:r>
    </w:p>
    <w:p>
      <w:r/>
    </w:p>
    <w:p>
      <w:pPr>
        <w:pStyle w:val="Heading1"/>
        <w:spacing w:before="360" w:after="160"/>
        <w:rPr>
          <w:rFonts w:ascii="Calibri" w:cs="Calibri" w:eastAsia="Calibri" w:hAnsi="Calibri"/>
          <w:b/>
          <w:bCs/>
          <w:color w:val="FF3E00"/>
          <w:sz w:val="56"/>
          <w:szCs w:val="56"/>
        </w:rPr>
      </w:pPr>
      <w:r>
        <w:t xml:space="preserve">1. Investment Overview</w:t>
      </w:r>
    </w:p>
    <w:p>
      <w:pPr>
        <w:spacing w:after="140"/>
        <w:rPr>
          <w:rFonts w:ascii="Calibri" w:cs="Calibri" w:eastAsia="Calibri" w:hAnsi="Calibri"/>
          <w:sz w:val="42"/>
          <w:szCs w:val="42"/>
        </w:rPr>
      </w:pPr>
      <w:r>
        <w:t xml:space="preserve">This document details the capital expenditure plan for Aurelian Manufacturing's first workshop. All CNC investments follow a phased approach aligned with commercial traction and operational maturity. Total machine CAPEX across all phases is approximately 200 MNOK.</w:t>
      </w:r>
    </w:p>
    <w:p>
      <w:pPr>
        <w:pStyle w:val="Heading2"/>
        <w:spacing w:before="280" w:after="120"/>
        <w:rPr>
          <w:rFonts w:ascii="Calibri" w:cs="Calibri" w:eastAsia="Calibri" w:hAnsi="Calibri"/>
          <w:b/>
          <w:bCs/>
          <w:color w:val="333333"/>
          <w:sz w:val="48"/>
          <w:szCs w:val="48"/>
        </w:rPr>
      </w:pPr>
      <w:r>
        <w:t xml:space="preserve">1.1 Core CAPEX Assumptions</w:t>
      </w:r>
    </w:p>
    <w:tbl>
      <w:tblPr>
        <w:tblW w:type="dxa" w:w="9026"/>
        <w:tblBorders>
          <w:top w:val="single" w:color="CCCCCC" w:sz="1" w:space="1"/>
          <w:left w:val="single" w:color="CCCCCC" w:sz="1" w:space="1"/>
          <w:bottom w:val="single" w:color="CCCCCC" w:sz="1" w:space="1"/>
          <w:right w:val="single" w:color="CCCCCC" w:sz="1" w:space="1"/>
          <w:insideH w:val="single" w:color="CCCCCC" w:sz="1" w:space="1"/>
          <w:insideV w:val="single" w:color="CCCCCC" w:sz="1" w:space="1"/>
        </w:tblBorders>
      </w:tblPr>
      <w:tblGrid>
        <w:gridCol w:w="100"/>
        <w:gridCol w:w="100"/>
      </w:tblGrid>
      <w:tr>
        <w:tc>
          <w:tcPr>
            <w:tcW w:type="dxa" w:w="4513"/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/>
                <w:bCs/>
                <w:color w:val="FFFFFF"/>
                <w:sz w:val="42"/>
                <w:szCs w:val="42"/>
              </w:rPr>
            </w:pPr>
            <w:r>
              <w:t xml:space="preserve">Parameter</w:t>
            </w:r>
          </w:p>
        </w:tc>
        <w:tc>
          <w:tcPr>
            <w:tcW w:type="dxa" w:w="4513"/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/>
                <w:bCs/>
                <w:color w:val="FFFFFF"/>
                <w:sz w:val="42"/>
                <w:szCs w:val="42"/>
              </w:rPr>
            </w:pPr>
            <w:r>
              <w:t xml:space="preserve">Value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Cost per CNC (incl. automation)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10 MNOK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Depreciation life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8 years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Annual depreciation per CNC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1.25 MNOK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CNC supplier (primary)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MAZAK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CNC supplier (backup)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DMG MORI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Resale value retention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50-70% (market analysis, Vedlegg E)</w:t>
            </w:r>
          </w:p>
        </w:tc>
      </w:tr>
    </w:tbl>
    <w:p/>
    <w:p>
      <w:pPr>
        <w:pStyle w:val="Heading1"/>
        <w:spacing w:before="360" w:after="160"/>
        <w:rPr>
          <w:rFonts w:ascii="Calibri" w:cs="Calibri" w:eastAsia="Calibri" w:hAnsi="Calibri"/>
          <w:b/>
          <w:bCs/>
          <w:color w:val="FF3E00"/>
          <w:sz w:val="56"/>
          <w:szCs w:val="56"/>
        </w:rPr>
      </w:pPr>
      <w:r>
        <w:t xml:space="preserve">2. Phase Structure</w:t>
      </w:r>
    </w:p>
    <w:p>
      <w:pPr>
        <w:spacing w:after="140"/>
        <w:rPr>
          <w:rFonts w:ascii="Calibri" w:cs="Calibri" w:eastAsia="Calibri" w:hAnsi="Calibri"/>
          <w:sz w:val="42"/>
          <w:szCs w:val="42"/>
        </w:rPr>
      </w:pPr>
      <w:r>
        <w:t xml:space="preserve">The investment is structured across three fundraising rounds, with machine deployment tied to capital availability and commercial demand.</w:t>
      </w:r>
    </w:p>
    <w:p>
      <w:pPr>
        <w:pStyle w:val="Heading2"/>
        <w:spacing w:before="280" w:after="120"/>
        <w:rPr>
          <w:rFonts w:ascii="Calibri" w:cs="Calibri" w:eastAsia="Calibri" w:hAnsi="Calibri"/>
          <w:b/>
          <w:bCs/>
          <w:color w:val="333333"/>
          <w:sz w:val="48"/>
          <w:szCs w:val="48"/>
        </w:rPr>
      </w:pPr>
      <w:r>
        <w:t xml:space="preserve">2.1 Pre-Seed Phase (2026-2027)</w:t>
      </w:r>
    </w:p>
    <w:tbl>
      <w:tblPr>
        <w:tblW w:type="dxa" w:w="9026"/>
        <w:tblBorders>
          <w:top w:val="single" w:color="CCCCCC" w:sz="1" w:space="1"/>
          <w:left w:val="single" w:color="CCCCCC" w:sz="1" w:space="1"/>
          <w:bottom w:val="single" w:color="CCCCCC" w:sz="1" w:space="1"/>
          <w:right w:val="single" w:color="CCCCCC" w:sz="1" w:space="1"/>
          <w:insideH w:val="single" w:color="CCCCCC" w:sz="1" w:space="1"/>
          <w:insideV w:val="single" w:color="CCCCCC" w:sz="1" w:space="1"/>
        </w:tblBorders>
      </w:tblPr>
      <w:tblGrid>
        <w:gridCol w:w="100"/>
        <w:gridCol w:w="100"/>
      </w:tblGrid>
      <w:tr>
        <w:tc>
          <w:tcPr>
            <w:tcW w:type="dxa" w:w="4513"/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/>
                <w:bCs/>
                <w:color w:val="FFFFFF"/>
                <w:sz w:val="42"/>
                <w:szCs w:val="42"/>
              </w:rPr>
            </w:pPr>
            <w:r>
              <w:t xml:space="preserve">Item</w:t>
            </w:r>
          </w:p>
        </w:tc>
        <w:tc>
          <w:tcPr>
            <w:tcW w:type="dxa" w:w="4513"/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/>
                <w:bCs/>
                <w:color w:val="FFFFFF"/>
                <w:sz w:val="42"/>
                <w:szCs w:val="42"/>
              </w:rPr>
            </w:pPr>
            <w:r>
              <w:t xml:space="preserve">Value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CNC machines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0 (no machine CAPEX)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Equity raised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5 MNOK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Purpose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Establishment, pre-project, risk reduction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Key activities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Company registration, facility planning, customer qualification, team building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Machine CAPEX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0 MNOK</w:t>
            </w:r>
          </w:p>
        </w:tc>
      </w:tr>
    </w:tbl>
    <w:p>
      <w:pPr>
        <w:spacing w:before="140" w:after="140"/>
        <w:rPr>
          <w:rFonts w:ascii="Calibri" w:cs="Calibri" w:eastAsia="Calibri" w:hAnsi="Calibri"/>
          <w:sz w:val="42"/>
          <w:szCs w:val="42"/>
        </w:rPr>
      </w:pPr>
      <w:r>
        <w:t xml:space="preserve">Pre-Seed is a zero-CAPEX phase focused entirely on de-risking the project. All capital is deployed toward commercial validation, facility planning, and regulatory groundwork.</w:t>
      </w:r>
    </w:p>
    <w:p>
      <w:pPr>
        <w:pStyle w:val="Heading2"/>
        <w:spacing w:before="280" w:after="120"/>
        <w:rPr>
          <w:rFonts w:ascii="Calibri" w:cs="Calibri" w:eastAsia="Calibri" w:hAnsi="Calibri"/>
          <w:b/>
          <w:bCs/>
          <w:color w:val="333333"/>
          <w:sz w:val="48"/>
          <w:szCs w:val="48"/>
        </w:rPr>
      </w:pPr>
      <w:r>
        <w:t xml:space="preserve">2.2 Seed Phase (2027-2028)</w:t>
      </w:r>
    </w:p>
    <w:tbl>
      <w:tblPr>
        <w:tblW w:type="dxa" w:w="9026"/>
        <w:tblBorders>
          <w:top w:val="single" w:color="CCCCCC" w:sz="1" w:space="1"/>
          <w:left w:val="single" w:color="CCCCCC" w:sz="1" w:space="1"/>
          <w:bottom w:val="single" w:color="CCCCCC" w:sz="1" w:space="1"/>
          <w:right w:val="single" w:color="CCCCCC" w:sz="1" w:space="1"/>
          <w:insideH w:val="single" w:color="CCCCCC" w:sz="1" w:space="1"/>
          <w:insideV w:val="single" w:color="CCCCCC" w:sz="1" w:space="1"/>
        </w:tblBorders>
      </w:tblPr>
      <w:tblGrid>
        <w:gridCol w:w="100"/>
        <w:gridCol w:w="100"/>
      </w:tblGrid>
      <w:tr>
        <w:tc>
          <w:tcPr>
            <w:tcW w:type="dxa" w:w="4513"/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/>
                <w:bCs/>
                <w:color w:val="FFFFFF"/>
                <w:sz w:val="42"/>
                <w:szCs w:val="42"/>
              </w:rPr>
            </w:pPr>
            <w:r>
              <w:t xml:space="preserve">Item</w:t>
            </w:r>
          </w:p>
        </w:tc>
        <w:tc>
          <w:tcPr>
            <w:tcW w:type="dxa" w:w="4513"/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/>
                <w:bCs/>
                <w:color w:val="FFFFFF"/>
                <w:sz w:val="42"/>
                <w:szCs w:val="42"/>
              </w:rPr>
            </w:pPr>
            <w:r>
              <w:t xml:space="preserve">Value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CNC machines deployed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5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Equity raised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51.3 MNOK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Bank debt (per CNC)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5.0 MNOK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Total bank debt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25.0 MNOK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Machine CAPEX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50 MNOK (5 × 10 MNOK)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Shop base setup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8.6 MNOK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Operating buffer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10 MNOK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Equity share of CNC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50%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First revenue target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August 2027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Target utilization (Year 1)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20-37.5%</w:t>
            </w:r>
          </w:p>
        </w:tc>
      </w:tr>
    </w:tbl>
    <w:p>
      <w:pPr>
        <w:spacing w:before="140" w:after="140"/>
        <w:rPr>
          <w:rFonts w:ascii="Calibri" w:cs="Calibri" w:eastAsia="Calibri" w:hAnsi="Calibri"/>
          <w:sz w:val="42"/>
          <w:szCs w:val="42"/>
        </w:rPr>
      </w:pPr>
      <w:r>
        <w:t xml:space="preserve">Seed deploys the first 5 CNC machines with a 50/50 equity-debt split on equipment financing. The 10 MNOK operating buffer ensures runway through commercial ramp-up.</w:t>
      </w:r>
    </w:p>
    <w:p>
      <w:pPr>
        <w:pStyle w:val="Heading2"/>
        <w:spacing w:before="280" w:after="120"/>
        <w:rPr>
          <w:rFonts w:ascii="Calibri" w:cs="Calibri" w:eastAsia="Calibri" w:hAnsi="Calibri"/>
          <w:b/>
          <w:bCs/>
          <w:color w:val="333333"/>
          <w:sz w:val="48"/>
          <w:szCs w:val="48"/>
        </w:rPr>
      </w:pPr>
      <w:r>
        <w:t xml:space="preserve">2.3 Serie A Phase (2028-2031)</w:t>
      </w:r>
    </w:p>
    <w:tbl>
      <w:tblPr>
        <w:tblW w:type="dxa" w:w="9026"/>
        <w:tblBorders>
          <w:top w:val="single" w:color="CCCCCC" w:sz="1" w:space="1"/>
          <w:left w:val="single" w:color="CCCCCC" w:sz="1" w:space="1"/>
          <w:bottom w:val="single" w:color="CCCCCC" w:sz="1" w:space="1"/>
          <w:right w:val="single" w:color="CCCCCC" w:sz="1" w:space="1"/>
          <w:insideH w:val="single" w:color="CCCCCC" w:sz="1" w:space="1"/>
          <w:insideV w:val="single" w:color="CCCCCC" w:sz="1" w:space="1"/>
        </w:tblBorders>
      </w:tblPr>
      <w:tblGrid>
        <w:gridCol w:w="100"/>
        <w:gridCol w:w="100"/>
      </w:tblGrid>
      <w:tr>
        <w:tc>
          <w:tcPr>
            <w:tcW w:type="dxa" w:w="4513"/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/>
                <w:bCs/>
                <w:color w:val="FFFFFF"/>
                <w:sz w:val="42"/>
                <w:szCs w:val="42"/>
              </w:rPr>
            </w:pPr>
            <w:r>
              <w:t xml:space="preserve">Item</w:t>
            </w:r>
          </w:p>
        </w:tc>
        <w:tc>
          <w:tcPr>
            <w:tcW w:type="dxa" w:w="4513"/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/>
                <w:bCs/>
                <w:color w:val="FFFFFF"/>
                <w:sz w:val="42"/>
                <w:szCs w:val="42"/>
              </w:rPr>
            </w:pPr>
            <w:r>
              <w:t xml:space="preserve">Value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Additional CNC machines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15 (3 tranches of 5)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Equity raised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45 MNOK (may be split in two closings)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Debt per CNC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7.0 MNOK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Total additional bank debt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105 MNOK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Machine CAPEX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150 MNOK (15 × 10 MNOK)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Equity share of CNC (avg)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30-35%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Target utilization (steady state)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60-65%</w:t>
            </w:r>
          </w:p>
        </w:tc>
      </w:tr>
    </w:tbl>
    <w:p>
      <w:pPr>
        <w:spacing w:before="140" w:after="140"/>
        <w:rPr>
          <w:rFonts w:ascii="Calibri" w:cs="Calibri" w:eastAsia="Calibri" w:hAnsi="Calibri"/>
          <w:sz w:val="42"/>
          <w:szCs w:val="42"/>
        </w:rPr>
      </w:pPr>
      <w:r>
        <w:t xml:space="preserve">Serie A scales from 5 to 20 machines in three tranches, with decreasing equity requirements per tranche as operational track record reduces bank risk.</w:t>
      </w:r>
    </w:p>
    <w:p>
      <w:pPr>
        <w:pStyle w:val="Heading1"/>
        <w:spacing w:before="360" w:after="160"/>
        <w:rPr>
          <w:rFonts w:ascii="Calibri" w:cs="Calibri" w:eastAsia="Calibri" w:hAnsi="Calibri"/>
          <w:b/>
          <w:bCs/>
          <w:color w:val="FF3E00"/>
          <w:sz w:val="56"/>
          <w:szCs w:val="56"/>
        </w:rPr>
      </w:pPr>
      <w:r>
        <w:t xml:space="preserve">3. CAPEX Timeline</w:t>
      </w:r>
    </w:p>
    <w:tbl>
      <w:tblPr>
        <w:tblW w:type="dxa" w:w="9026"/>
        <w:tblBorders>
          <w:top w:val="single" w:color="CCCCCC" w:sz="1" w:space="1"/>
          <w:left w:val="single" w:color="CCCCCC" w:sz="1" w:space="1"/>
          <w:bottom w:val="single" w:color="CCCCCC" w:sz="1" w:space="1"/>
          <w:right w:val="single" w:color="CCCCCC" w:sz="1" w:space="1"/>
          <w:insideH w:val="single" w:color="CCCCCC" w:sz="1" w:space="1"/>
          <w:insideV w:val="single" w:color="CCCCCC" w:sz="1" w:space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5"/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/>
                <w:bCs/>
                <w:color w:val="FFFFFF"/>
                <w:sz w:val="42"/>
                <w:szCs w:val="42"/>
              </w:rPr>
            </w:pPr>
            <w:r>
              <w:t xml:space="preserve">Year</w:t>
            </w:r>
          </w:p>
        </w:tc>
        <w:tc>
          <w:tcPr>
            <w:tcW w:type="dxa" w:w="1805"/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/>
                <w:bCs/>
                <w:color w:val="FFFFFF"/>
                <w:sz w:val="42"/>
                <w:szCs w:val="42"/>
              </w:rPr>
            </w:pPr>
            <w:r>
              <w:t xml:space="preserve">New CNC</w:t>
            </w:r>
          </w:p>
        </w:tc>
        <w:tc>
          <w:tcPr>
            <w:tcW w:type="dxa" w:w="1805"/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/>
                <w:bCs/>
                <w:color w:val="FFFFFF"/>
                <w:sz w:val="42"/>
                <w:szCs w:val="42"/>
              </w:rPr>
            </w:pPr>
            <w:r>
              <w:t xml:space="preserve">Total CNC</w:t>
            </w:r>
          </w:p>
        </w:tc>
        <w:tc>
          <w:tcPr>
            <w:tcW w:type="dxa" w:w="1805"/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/>
                <w:bCs/>
                <w:color w:val="FFFFFF"/>
                <w:sz w:val="42"/>
                <w:szCs w:val="42"/>
              </w:rPr>
            </w:pPr>
            <w:r>
              <w:t xml:space="preserve">Annual CAPEX (MNOK)</w:t>
            </w:r>
          </w:p>
        </w:tc>
        <w:tc>
          <w:tcPr>
            <w:tcW w:type="dxa" w:w="1805"/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/>
                <w:bCs/>
                <w:color w:val="FFFFFF"/>
                <w:sz w:val="42"/>
                <w:szCs w:val="42"/>
              </w:rPr>
            </w:pPr>
            <w:r>
              <w:t xml:space="preserve">Accumulated CAPEX (MNOK)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2027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5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5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50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50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2028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5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10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50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100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2029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5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15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50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150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2030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5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20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50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200</w:t>
            </w:r>
          </w:p>
        </w:tc>
      </w:tr>
    </w:tbl>
    <w:p>
      <w:pPr>
        <w:spacing w:before="140" w:after="140"/>
        <w:rPr>
          <w:rFonts w:ascii="Calibri" w:cs="Calibri" w:eastAsia="Calibri" w:hAnsi="Calibri"/>
          <w:sz w:val="42"/>
          <w:szCs w:val="42"/>
        </w:rPr>
      </w:pPr>
      <w:r>
        <w:t xml:space="preserve">Deployment follows a steady 5-machine-per-year cadence, creating predictable capital requirements and allowing operational maturity between tranches.</w:t>
      </w:r>
    </w:p>
    <w:p>
      <w:pPr>
        <w:pStyle w:val="Heading1"/>
        <w:spacing w:before="360" w:after="160"/>
        <w:rPr>
          <w:rFonts w:ascii="Calibri" w:cs="Calibri" w:eastAsia="Calibri" w:hAnsi="Calibri"/>
          <w:b/>
          <w:bCs/>
          <w:color w:val="FF3E00"/>
          <w:sz w:val="56"/>
          <w:szCs w:val="56"/>
        </w:rPr>
      </w:pPr>
      <w:r>
        <w:t xml:space="preserve">4. Financing Structure per Phase</w:t>
      </w:r>
    </w:p>
    <w:tbl>
      <w:tblPr>
        <w:tblW w:type="dxa" w:w="9026"/>
        <w:tblBorders>
          <w:top w:val="single" w:color="CCCCCC" w:sz="1" w:space="1"/>
          <w:left w:val="single" w:color="CCCCCC" w:sz="1" w:space="1"/>
          <w:bottom w:val="single" w:color="CCCCCC" w:sz="1" w:space="1"/>
          <w:right w:val="single" w:color="CCCCCC" w:sz="1" w:space="1"/>
          <w:insideH w:val="single" w:color="CCCCCC" w:sz="1" w:space="1"/>
          <w:insideV w:val="single" w:color="CCCCCC" w:sz="1" w:space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4"/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/>
                <w:bCs/>
                <w:color w:val="FFFFFF"/>
                <w:sz w:val="42"/>
                <w:szCs w:val="42"/>
              </w:rPr>
            </w:pPr>
            <w:r>
              <w:t xml:space="preserve">Phase</w:t>
            </w:r>
          </w:p>
        </w:tc>
        <w:tc>
          <w:tcPr>
            <w:tcW w:type="dxa" w:w="1504"/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/>
                <w:bCs/>
                <w:color w:val="FFFFFF"/>
                <w:sz w:val="42"/>
                <w:szCs w:val="42"/>
              </w:rPr>
            </w:pPr>
            <w:r>
              <w:t xml:space="preserve">Machines</w:t>
            </w:r>
          </w:p>
        </w:tc>
        <w:tc>
          <w:tcPr>
            <w:tcW w:type="dxa" w:w="1504"/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/>
                <w:bCs/>
                <w:color w:val="FFFFFF"/>
                <w:sz w:val="42"/>
                <w:szCs w:val="42"/>
              </w:rPr>
            </w:pPr>
            <w:r>
              <w:t xml:space="preserve">CAPEX (MNOK)</w:t>
            </w:r>
          </w:p>
        </w:tc>
        <w:tc>
          <w:tcPr>
            <w:tcW w:type="dxa" w:w="1504"/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/>
                <w:bCs/>
                <w:color w:val="FFFFFF"/>
                <w:sz w:val="42"/>
                <w:szCs w:val="42"/>
              </w:rPr>
            </w:pPr>
            <w:r>
              <w:t xml:space="preserve">Equity (MNOK)</w:t>
            </w:r>
          </w:p>
        </w:tc>
        <w:tc>
          <w:tcPr>
            <w:tcW w:type="dxa" w:w="1504"/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/>
                <w:bCs/>
                <w:color w:val="FFFFFF"/>
                <w:sz w:val="42"/>
                <w:szCs w:val="42"/>
              </w:rPr>
            </w:pPr>
            <w:r>
              <w:t xml:space="preserve">Bank Debt (MNOK)</w:t>
            </w:r>
          </w:p>
        </w:tc>
        <w:tc>
          <w:tcPr>
            <w:tcW w:type="dxa" w:w="1504"/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/>
                <w:bCs/>
                <w:color w:val="FFFFFF"/>
                <w:sz w:val="42"/>
                <w:szCs w:val="42"/>
              </w:rPr>
            </w:pPr>
            <w:r>
              <w:t xml:space="preserve">EK %</w:t>
            </w:r>
          </w:p>
        </w:tc>
      </w:tr>
      <w:t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Pre-Seed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0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0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5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0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100%</w:t>
            </w:r>
          </w:p>
        </w:tc>
      </w:tr>
      <w:t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Seed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5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50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51.3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25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50%</w:t>
            </w:r>
          </w:p>
        </w:tc>
      </w:tr>
      <w:t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Serie A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15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150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45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105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30%</w:t>
            </w:r>
          </w:p>
        </w:tc>
      </w:tr>
      <w:t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Total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20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200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101.3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130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—</w:t>
            </w:r>
          </w:p>
        </w:tc>
      </w:tr>
    </w:tbl>
    <w:p/>
    <w:p>
      <w:pPr>
        <w:pStyle w:val="Heading1"/>
        <w:spacing w:before="360" w:after="160"/>
        <w:rPr>
          <w:rFonts w:ascii="Calibri" w:cs="Calibri" w:eastAsia="Calibri" w:hAnsi="Calibri"/>
          <w:b/>
          <w:bCs/>
          <w:color w:val="FF3E00"/>
          <w:sz w:val="56"/>
          <w:szCs w:val="56"/>
        </w:rPr>
      </w:pPr>
      <w:r>
        <w:t xml:space="preserve">5. Depreciation &amp; Residual Value</w:t>
      </w:r>
    </w:p>
    <w:p>
      <w:pPr>
        <w:pStyle w:val="Heading2"/>
        <w:spacing w:before="280" w:after="120"/>
        <w:rPr>
          <w:rFonts w:ascii="Calibri" w:cs="Calibri" w:eastAsia="Calibri" w:hAnsi="Calibri"/>
          <w:b/>
          <w:bCs/>
          <w:color w:val="333333"/>
          <w:sz w:val="48"/>
          <w:szCs w:val="48"/>
        </w:rPr>
      </w:pPr>
      <w:r>
        <w:t xml:space="preserve">5.1 Annual Depreciation Schedule</w:t>
      </w:r>
    </w:p>
    <w:tbl>
      <w:tblPr>
        <w:tblW w:type="dxa" w:w="9026"/>
        <w:tblBorders>
          <w:top w:val="single" w:color="CCCCCC" w:sz="1" w:space="1"/>
          <w:left w:val="single" w:color="CCCCCC" w:sz="1" w:space="1"/>
          <w:bottom w:val="single" w:color="CCCCCC" w:sz="1" w:space="1"/>
          <w:right w:val="single" w:color="CCCCCC" w:sz="1" w:space="1"/>
          <w:insideH w:val="single" w:color="CCCCCC" w:sz="1" w:space="1"/>
          <w:insideV w:val="single" w:color="CCCCCC" w:sz="1" w:space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6"/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/>
                <w:bCs/>
                <w:color w:val="FFFFFF"/>
                <w:sz w:val="42"/>
                <w:szCs w:val="42"/>
              </w:rPr>
            </w:pPr>
            <w:r>
              <w:t xml:space="preserve">Year</w:t>
            </w:r>
          </w:p>
        </w:tc>
        <w:tc>
          <w:tcPr>
            <w:tcW w:type="dxa" w:w="2256"/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/>
                <w:bCs/>
                <w:color w:val="FFFFFF"/>
                <w:sz w:val="42"/>
                <w:szCs w:val="42"/>
              </w:rPr>
            </w:pPr>
            <w:r>
              <w:t xml:space="preserve">Active CNC</w:t>
            </w:r>
          </w:p>
        </w:tc>
        <w:tc>
          <w:tcPr>
            <w:tcW w:type="dxa" w:w="2256"/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/>
                <w:bCs/>
                <w:color w:val="FFFFFF"/>
                <w:sz w:val="42"/>
                <w:szCs w:val="42"/>
              </w:rPr>
            </w:pPr>
            <w:r>
              <w:t xml:space="preserve">Annual Depreciation (MNOK)</w:t>
            </w:r>
          </w:p>
        </w:tc>
        <w:tc>
          <w:tcPr>
            <w:tcW w:type="dxa" w:w="2256"/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/>
                <w:bCs/>
                <w:color w:val="FFFFFF"/>
                <w:sz w:val="42"/>
                <w:szCs w:val="42"/>
              </w:rPr>
            </w:pPr>
            <w:r>
              <w:t xml:space="preserve">Accumulated (MNOK)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2027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5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6.25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6.25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2028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10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12.5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18.75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2029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15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18.75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37.5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2030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20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25.0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62.5</w:t>
            </w:r>
          </w:p>
        </w:tc>
      </w:tr>
    </w:tbl>
    <w:p/>
    <w:p>
      <w:pPr>
        <w:pStyle w:val="Heading2"/>
        <w:spacing w:before="280" w:after="120"/>
        <w:rPr>
          <w:rFonts w:ascii="Calibri" w:cs="Calibri" w:eastAsia="Calibri" w:hAnsi="Calibri"/>
          <w:b/>
          <w:bCs/>
          <w:color w:val="333333"/>
          <w:sz w:val="48"/>
          <w:szCs w:val="48"/>
        </w:rPr>
      </w:pPr>
      <w:r>
        <w:t xml:space="preserve">5.2 Residual Value Protection</w:t>
      </w:r>
    </w:p>
    <w:p>
      <w:pPr>
        <w:spacing w:after="140"/>
        <w:rPr>
          <w:rFonts w:ascii="Calibri" w:cs="Calibri" w:eastAsia="Calibri" w:hAnsi="Calibri"/>
          <w:sz w:val="42"/>
          <w:szCs w:val="42"/>
        </w:rPr>
      </w:pPr>
      <w:r>
        <w:t xml:space="preserve">MAZAK and DMG MORI machines retain 50-70% of acquisition value over a 2-7 year horizon (ref. Vedlegg E — CNC Resale Value Analysis). At 20 machines with 10 MNOK acquisition cost, the residual value floor is estimated at 100-140 MNOK, providing significant downside protection for equity investors and lenders.</w:t>
      </w:r>
    </w:p>
    <w:p>
      <w:pPr>
        <w:pStyle w:val="Heading1"/>
        <w:spacing w:before="360" w:after="160"/>
        <w:rPr>
          <w:rFonts w:ascii="Calibri" w:cs="Calibri" w:eastAsia="Calibri" w:hAnsi="Calibri"/>
          <w:b/>
          <w:bCs/>
          <w:color w:val="FF3E00"/>
          <w:sz w:val="56"/>
          <w:szCs w:val="56"/>
        </w:rPr>
      </w:pPr>
      <w:r>
        <w:t xml:space="preserve">6. Self-Funded Scaling (Post-Serie A)</w:t>
      </w:r>
    </w:p>
    <w:p>
      <w:pPr>
        <w:spacing w:after="140"/>
        <w:rPr>
          <w:rFonts w:ascii="Calibri" w:cs="Calibri" w:eastAsia="Calibri" w:hAnsi="Calibri"/>
          <w:sz w:val="42"/>
          <w:szCs w:val="42"/>
        </w:rPr>
      </w:pPr>
      <w:r>
        <w:t xml:space="preserve">From approximately 2030, Aurelian's cash flow generation enables self-funded expansion beyond 20 CNC machines without additional equity. Projected free cash flow at 60% utilization with 20 machines supports acquisition of 3-5 additional machines per year from retained earnings.</w:t>
      </w:r>
    </w:p>
    <w:tbl>
      <w:tblPr>
        <w:tblW w:type="dxa" w:w="9026"/>
        <w:tblBorders>
          <w:top w:val="single" w:color="CCCCCC" w:sz="1" w:space="1"/>
          <w:left w:val="single" w:color="CCCCCC" w:sz="1" w:space="1"/>
          <w:bottom w:val="single" w:color="CCCCCC" w:sz="1" w:space="1"/>
          <w:right w:val="single" w:color="CCCCCC" w:sz="1" w:space="1"/>
          <w:insideH w:val="single" w:color="CCCCCC" w:sz="1" w:space="1"/>
          <w:insideV w:val="single" w:color="CCCCCC" w:sz="1" w:space="1"/>
        </w:tblBorders>
      </w:tblPr>
      <w:tblGrid>
        <w:gridCol w:w="100"/>
        <w:gridCol w:w="100"/>
        <w:gridCol w:w="100"/>
      </w:tblGrid>
      <w:tr>
        <w:tc>
          <w:tcPr>
            <w:tcW w:type="dxa" w:w="3008"/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/>
                <w:bCs/>
                <w:color w:val="FFFFFF"/>
                <w:sz w:val="42"/>
                <w:szCs w:val="42"/>
              </w:rPr>
            </w:pPr>
            <w:r>
              <w:t xml:space="preserve">Parameter</w:t>
            </w:r>
          </w:p>
        </w:tc>
        <w:tc>
          <w:tcPr>
            <w:tcW w:type="dxa" w:w="3008"/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/>
                <w:bCs/>
                <w:color w:val="FFFFFF"/>
                <w:sz w:val="42"/>
                <w:szCs w:val="42"/>
              </w:rPr>
            </w:pPr>
            <w:r>
              <w:t xml:space="preserve">Value</w:t>
            </w:r>
          </w:p>
        </w:tc>
        <w:tc>
          <w:tcPr>
            <w:tcW w:type="dxa" w:w="3008"/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/>
                <w:bCs/>
                <w:color w:val="FFFFFF"/>
                <w:sz w:val="42"/>
                <w:szCs w:val="42"/>
              </w:rPr>
            </w:pPr>
            <w:r>
              <w:t xml:space="preserve">Source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Self-funded scaling start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~2030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FM8 cash flow model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Additional machines (self-funded)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5 (to 25 total)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Economic Tables REV6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Capital required per machine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10 MNOK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Standard CAPEX assumption</w:t>
            </w:r>
          </w:p>
        </w:tc>
      </w:tr>
      <w:t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Funding source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Operating cash flow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rPr>
                <w:rFonts w:ascii="Calibri" w:cs="Calibri" w:eastAsia="Calibri" w:hAnsi="Calibri"/>
                <w:b w:val="false"/>
                <w:bCs w:val="false"/>
                <w:color w:val="000000"/>
                <w:sz w:val="42"/>
                <w:szCs w:val="42"/>
              </w:rPr>
            </w:pPr>
            <w:r>
              <w:t xml:space="preserve">No additional equity dilution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2026-02-13T05:28:46.982Z</dcterms:created>
  <dcterms:modified xsi:type="dcterms:W3CDTF">2026-02-13T05:28:46.982Z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