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pacing w:val="60"/>
          <w:sz w:val="36"/>
          <w:szCs w:val="36"/>
        </w:rPr>
        <w:t xml:space="preserve">AURELIAN MANUFACTURING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FF3E00"/>
          <w:sz w:val="20"/>
          <w:szCs w:val="20"/>
        </w:rPr>
        <w:t xml:space="preserve">Production as a Service — Autonomous, Data-Driven, and Scalable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Investment Teaser  |  Pre-Seed Round  |  February 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106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single" w:color="CCCCCC" w:sz="1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FF3E00" w:sz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0"/>
                <w:szCs w:val="20"/>
              </w:rPr>
              <w:t xml:space="preserve">THE OPPORTUNITY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Europe’s defense and energy sectors face a structural shortage of precision CNC manufacturing capacity. Norwegian shops typically operate at 30–40% utilization with high labor intensity. No domestic facility combines autonomous operation, digital traceability, and defense certifications.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Three mega-trends converge: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Defense: NATO 5% GDP commitment. Norway: 1,624B NOK (2025–2036).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Energy: Offshore wind, hydrogen/CCS, grid — all need precision parts.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Capacity: No autonomous CNC facility exists in Europe.</w:t>
            </w:r>
          </w:p>
          <w:p>
            <w:pPr>
              <w:pBdr>
                <w:bottom w:val="single" w:color="FF3E00" w:sz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0"/>
                <w:szCs w:val="20"/>
              </w:rPr>
              <w:t xml:space="preserve">OUR SOLUTION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Greenfield autonomous CNC facility in Våler, Østfold. 60–65% utilization vs industry 30–40%. Sub-linear staffing vs high labor intensity in traditional workshops. Lights-out production with full digital traceability. MAZAK + DMG MORI equipment (50–70% resale value).</w:t>
            </w:r>
          </w:p>
          <w:p>
            <w:pPr>
              <w:pBdr>
                <w:bottom w:val="single" w:color="FF3E00" w:sz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0"/>
                <w:szCs w:val="20"/>
              </w:rPr>
              <w:t xml:space="preserve">COMPETITIVE MOAT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Low labor intensity, sub-linear scaling — structurally impossible to retrofit.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50/50 profit-sharing creates customer lock-in.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ISO 9001 → AS9100 → AQAP NATO certification path.</w:t>
            </w:r>
          </w:p>
          <w:p>
            <w:pPr>
              <w:spacing w:after="30"/>
              <w:ind w:left="200"/>
            </w:pPr>
            <w:r>
              <w:rPr>
                <w:rFonts w:ascii="Calibri" w:cs="Calibri" w:eastAsia="Calibri" w:hAnsi="Calibri"/>
                <w:color w:val="FF3E00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Validated model: Hadrian (USA, $1.6B) confirms appetite.</w:t>
            </w:r>
          </w:p>
          <w:p>
            <w:pPr>
              <w:pBdr>
                <w:bottom w:val="single" w:color="FF3E00" w:sz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0"/>
                <w:szCs w:val="20"/>
              </w:rPr>
              <w:t xml:space="preserve">TEAM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André Tandberg (CEO) — MD Nyskapingsfond, SpareBank 1 board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Tore Ausland (VP BD) — 30yr O&amp;G: GE, FMC, Aker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Henrik Strøm (CFO candidate) — Banking &amp; finance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Advisors: Torsnes (VW/TINE), Vangsal (CNC), Mollatt (Robotics)</w:t>
            </w:r>
          </w:p>
        </w:tc>
        <w:tc>
          <w:tcPr>
            <w:tcW w:type="dxa" w:w="510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FF3E00" w:sz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0"/>
                <w:szCs w:val="20"/>
              </w:rPr>
              <w:t xml:space="preserve">FINANCING (REV6)</w:t>
            </w: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000"/>
              <w:gridCol w:w="1000"/>
              <w:gridCol w:w="800"/>
              <w:gridCol w:w="700"/>
            </w:tblGrid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Round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Equity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Pre-$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Dilut.</w:t>
                  </w:r>
                </w:p>
              </w:tc>
              <w:tc>
                <w:tcPr>
                  <w:tcW w:type="dxa" w:w="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ROI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Pre-Seed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5M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25M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16.7%</w:t>
                  </w:r>
                </w:p>
              </w:tc>
              <w:tc>
                <w:tcPr>
                  <w:tcW w:type="dxa" w:w="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46.6x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Seed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51.3M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130M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28.3%</w:t>
                  </w:r>
                </w:p>
              </w:tc>
              <w:tc>
                <w:tcPr>
                  <w:tcW w:type="dxa" w:w="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10.8x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Serie A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45M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TBD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TBD</w:t>
                  </w:r>
                </w:p>
              </w:tc>
              <w:tc>
                <w:tcPr>
                  <w:tcW w:type="dxa" w:w="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TBD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Total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101.3M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CAPEX: 10 MNOK/CNC. Founders retain 50.6% post-Serie A.</w:t>
            </w:r>
          </w:p>
          <w:p>
            <w:pPr>
              <w:pBdr>
                <w:bottom w:val="single" w:color="FF3E00" w:sz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0"/>
                <w:szCs w:val="20"/>
              </w:rPr>
              <w:t xml:space="preserve">KEY FINANCIAL METRICS</w:t>
            </w: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2000"/>
            </w:tblGrid>
            <w:tr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Metric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Revenue (20 CNC, 60%)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~315 MNOK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Exit Valuation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2.3B NOK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Exit Multiple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10x EBITDA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Break-even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~24% util. (5 CNC)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Accum. Profit ’27–’35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~1,254 MNOK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First Revenue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August 2027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Self-funded from</w:t>
                  </w:r>
                </w:p>
              </w:tc>
              <w:tc>
                <w:tcPr>
                  <w:tcW w:type="dxa" w:w="2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~2030</w:t>
                  </w:r>
                </w:p>
              </w:tc>
            </w:tr>
          </w:tbl>
          <w:p>
            <w:pPr>
              <w:pBdr>
                <w:bottom w:val="single" w:color="FF3E00" w:sz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0"/>
                <w:szCs w:val="20"/>
              </w:rPr>
              <w:t xml:space="preserve">SCALING PATH</w:t>
            </w:r>
          </w:p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900"/>
              <w:gridCol w:w="1000"/>
              <w:gridCol w:w="900"/>
              <w:gridCol w:w="800"/>
            </w:tblGrid>
            <w:tr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Year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CNC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Util.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Rev.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Staff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2027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20%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~11M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2028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37.5%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49.3M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2030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17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47.5%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~212M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17</w:t>
                  </w:r>
                </w:p>
              </w:tc>
            </w:tr>
            <w:tr>
              <w:tc>
                <w:tcPr>
                  <w:tcW w:type="dxa" w:w="11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2035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25</w:t>
                  </w:r>
                </w:p>
              </w:tc>
              <w:tc>
                <w:tcPr>
                  <w:tcW w:type="dxa" w:w="1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65%</w:t>
                  </w:r>
                </w:p>
              </w:tc>
              <w:tc>
                <w:tcPr>
                  <w:tcW w:type="dxa" w:w="9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~427M</w:t>
                  </w:r>
                </w:p>
              </w:tc>
              <w:tc>
                <w:tcPr>
                  <w:tcW w:type="dxa" w:w="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24</w:t>
                  </w:r>
                </w:p>
              </w:tc>
            </w:tr>
          </w:tbl>
          <w:p>
            <w:pPr>
              <w:pBdr>
                <w:bottom w:val="single" w:color="FF3E00" w:sz="2"/>
              </w:pBdr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FF3E00"/>
                <w:spacing w:val="80"/>
                <w:sz w:val="20"/>
                <w:szCs w:val="20"/>
              </w:rPr>
              <w:t xml:space="preserve">THE ASK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Pre-Seed: 5 MNOK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at 25 MNOK pre-money (16.7% dilution)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 of funds: concept validation, customer discovery, supplier LOIs, regulatory groundwork, team building.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Projected investor ROI: ~46.6x at exit.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Aurelian Manufacturing AS  |  andre@aurelian.no  |  tore@aurelian.no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5"/>
        <w:szCs w:val="15"/>
      </w:rPr>
      <w:t xml:space="preserve">Aurelian Manufacturing  |  Investment Teaser  |  Konfidensielt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2026-02-13T04:13:03.771Z</dcterms:created>
  <dcterms:modified xsi:type="dcterms:W3CDTF">2026-02-13T04:13:03.772Z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