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B18F" w14:textId="77777777" w:rsidR="009B1EFD" w:rsidRPr="003074E1" w:rsidRDefault="003074E1">
      <w:pPr>
        <w:spacing w:after="20"/>
        <w:jc w:val="center"/>
        <w:rPr>
          <w:lang w:val="en-US"/>
        </w:rPr>
      </w:pPr>
      <w:r w:rsidRPr="003074E1">
        <w:rPr>
          <w:rFonts w:ascii="Calibri" w:eastAsia="Calibri" w:hAnsi="Calibri" w:cs="Calibri"/>
          <w:b/>
          <w:bCs/>
          <w:color w:val="1A1A1A"/>
          <w:spacing w:val="60"/>
          <w:sz w:val="36"/>
          <w:szCs w:val="36"/>
          <w:lang w:val="en-US"/>
        </w:rPr>
        <w:t>AURELIAN MANUFACTURING</w:t>
      </w:r>
    </w:p>
    <w:p w14:paraId="62EFB190" w14:textId="77777777" w:rsidR="009B1EFD" w:rsidRPr="003074E1" w:rsidRDefault="003074E1">
      <w:pPr>
        <w:spacing w:after="80"/>
        <w:jc w:val="center"/>
        <w:rPr>
          <w:lang w:val="en-US"/>
        </w:rPr>
      </w:pPr>
      <w:r w:rsidRPr="003074E1">
        <w:rPr>
          <w:rFonts w:ascii="Calibri" w:eastAsia="Calibri" w:hAnsi="Calibri" w:cs="Calibri"/>
          <w:color w:val="FF3E00"/>
          <w:lang w:val="en-US"/>
        </w:rPr>
        <w:t>Production as a Service — Autonomous, Data-Driven, and Scalable</w:t>
      </w:r>
    </w:p>
    <w:p w14:paraId="62EFB191" w14:textId="77777777" w:rsidR="009B1EFD" w:rsidRPr="003074E1" w:rsidRDefault="003074E1">
      <w:pPr>
        <w:spacing w:after="160"/>
        <w:jc w:val="center"/>
        <w:rPr>
          <w:lang w:val="en-US"/>
        </w:rPr>
      </w:pPr>
      <w:r w:rsidRPr="003074E1">
        <w:rPr>
          <w:rFonts w:ascii="Calibri" w:eastAsia="Calibri" w:hAnsi="Calibri" w:cs="Calibri"/>
          <w:color w:val="666666"/>
          <w:sz w:val="18"/>
          <w:szCs w:val="18"/>
          <w:lang w:val="en-US"/>
        </w:rPr>
        <w:t xml:space="preserve">Investment </w:t>
      </w:r>
      <w:proofErr w:type="gramStart"/>
      <w:r w:rsidRPr="003074E1">
        <w:rPr>
          <w:rFonts w:ascii="Calibri" w:eastAsia="Calibri" w:hAnsi="Calibri" w:cs="Calibri"/>
          <w:color w:val="666666"/>
          <w:sz w:val="18"/>
          <w:szCs w:val="18"/>
          <w:lang w:val="en-US"/>
        </w:rPr>
        <w:t>Teaser  |</w:t>
      </w:r>
      <w:proofErr w:type="gramEnd"/>
      <w:r w:rsidRPr="003074E1">
        <w:rPr>
          <w:rFonts w:ascii="Calibri" w:eastAsia="Calibri" w:hAnsi="Calibri" w:cs="Calibri"/>
          <w:color w:val="666666"/>
          <w:sz w:val="18"/>
          <w:szCs w:val="18"/>
          <w:lang w:val="en-US"/>
        </w:rPr>
        <w:t xml:space="preserve">  Pre-Seed </w:t>
      </w:r>
      <w:proofErr w:type="gramStart"/>
      <w:r w:rsidRPr="003074E1">
        <w:rPr>
          <w:rFonts w:ascii="Calibri" w:eastAsia="Calibri" w:hAnsi="Calibri" w:cs="Calibri"/>
          <w:color w:val="666666"/>
          <w:sz w:val="18"/>
          <w:szCs w:val="18"/>
          <w:lang w:val="en-US"/>
        </w:rPr>
        <w:t>Round  |</w:t>
      </w:r>
      <w:proofErr w:type="gramEnd"/>
      <w:r w:rsidRPr="003074E1">
        <w:rPr>
          <w:rFonts w:ascii="Calibri" w:eastAsia="Calibri" w:hAnsi="Calibri" w:cs="Calibri"/>
          <w:color w:val="666666"/>
          <w:sz w:val="18"/>
          <w:szCs w:val="18"/>
          <w:lang w:val="en-US"/>
        </w:rPr>
        <w:t xml:space="preserve">  February 2026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5106"/>
      </w:tblGrid>
      <w:tr w:rsidR="009B1EFD" w:rsidRPr="003074E1" w14:paraId="62EFB20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2EFB192" w14:textId="77777777" w:rsidR="009B1EFD" w:rsidRPr="003074E1" w:rsidRDefault="003074E1">
            <w:pPr>
              <w:pBdr>
                <w:bottom w:val="single" w:sz="2" w:space="0" w:color="FF3E00"/>
              </w:pBdr>
              <w:spacing w:before="200"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FF3E00"/>
                <w:spacing w:val="80"/>
                <w:lang w:val="en-US"/>
              </w:rPr>
              <w:t>THE OPPORTUNITY</w:t>
            </w:r>
          </w:p>
          <w:p w14:paraId="62EFB193" w14:textId="77777777" w:rsidR="009B1EFD" w:rsidRPr="003074E1" w:rsidRDefault="003074E1">
            <w:pPr>
              <w:spacing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Europe’s defense and energy sectors face a structural shortage of precision CNC manufacturing capacity. Norwegian shops typically operate at 30–40% utilization with high labor intensity. No domestic facility combines autonomous operation, digital traceability, and defense certifications.</w:t>
            </w:r>
          </w:p>
          <w:p w14:paraId="62EFB194" w14:textId="77777777" w:rsidR="009B1EFD" w:rsidRPr="003074E1" w:rsidRDefault="003074E1">
            <w:pPr>
              <w:spacing w:after="4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  <w:lang w:val="en-US"/>
              </w:rPr>
              <w:t>Three mega-trends converge:</w:t>
            </w:r>
          </w:p>
          <w:p w14:paraId="62EFB195" w14:textId="77777777" w:rsidR="009B1EFD" w:rsidRPr="003074E1" w:rsidRDefault="003074E1">
            <w:pPr>
              <w:spacing w:after="30"/>
              <w:ind w:left="20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>▸</w:t>
            </w: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 xml:space="preserve"> </w:t>
            </w:r>
            <w:r w:rsidRPr="003074E1">
              <w:rPr>
                <w:rFonts w:ascii="Calibri" w:eastAsia="Calibri" w:hAnsi="Calibri" w:cs="Calibri"/>
                <w:color w:val="1A1A1A"/>
                <w:sz w:val="17"/>
                <w:szCs w:val="17"/>
                <w:lang w:val="en-US"/>
              </w:rPr>
              <w:t>Defense: NATO 5% GDP commitment. Norway: 1,624B NOK (2025–2036).</w:t>
            </w:r>
          </w:p>
          <w:p w14:paraId="62EFB196" w14:textId="77777777" w:rsidR="009B1EFD" w:rsidRPr="003074E1" w:rsidRDefault="003074E1">
            <w:pPr>
              <w:spacing w:after="30"/>
              <w:ind w:left="20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>▸</w:t>
            </w: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 xml:space="preserve"> </w:t>
            </w:r>
            <w:r w:rsidRPr="003074E1">
              <w:rPr>
                <w:rFonts w:ascii="Calibri" w:eastAsia="Calibri" w:hAnsi="Calibri" w:cs="Calibri"/>
                <w:color w:val="1A1A1A"/>
                <w:sz w:val="17"/>
                <w:szCs w:val="17"/>
                <w:lang w:val="en-US"/>
              </w:rPr>
              <w:t>Energy: Offshore wind, hydrogen/CCS, grid — all need precision parts.</w:t>
            </w:r>
          </w:p>
          <w:p w14:paraId="62EFB197" w14:textId="77777777" w:rsidR="009B1EFD" w:rsidRPr="003074E1" w:rsidRDefault="003074E1">
            <w:pPr>
              <w:spacing w:after="30"/>
              <w:ind w:left="20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>▸</w:t>
            </w: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 xml:space="preserve"> </w:t>
            </w:r>
            <w:r w:rsidRPr="003074E1">
              <w:rPr>
                <w:rFonts w:ascii="Calibri" w:eastAsia="Calibri" w:hAnsi="Calibri" w:cs="Calibri"/>
                <w:color w:val="1A1A1A"/>
                <w:sz w:val="17"/>
                <w:szCs w:val="17"/>
                <w:lang w:val="en-US"/>
              </w:rPr>
              <w:t>Capacity: No autonomous CNC facility exists in Europe.</w:t>
            </w:r>
          </w:p>
          <w:p w14:paraId="62EFB198" w14:textId="77777777" w:rsidR="009B1EFD" w:rsidRPr="003074E1" w:rsidRDefault="003074E1">
            <w:pPr>
              <w:pBdr>
                <w:bottom w:val="single" w:sz="2" w:space="0" w:color="FF3E00"/>
              </w:pBdr>
              <w:spacing w:before="200"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FF3E00"/>
                <w:spacing w:val="80"/>
                <w:lang w:val="en-US"/>
              </w:rPr>
              <w:t>OUR SOLUTION</w:t>
            </w:r>
          </w:p>
          <w:p w14:paraId="62EFB199" w14:textId="77777777" w:rsidR="009B1EFD" w:rsidRPr="003074E1" w:rsidRDefault="003074E1">
            <w:pPr>
              <w:spacing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 xml:space="preserve">Greenfield autonomous CNC facility in </w:t>
            </w:r>
            <w:proofErr w:type="spellStart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Våler</w:t>
            </w:r>
            <w:proofErr w:type="spellEnd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Østfold</w:t>
            </w:r>
            <w:proofErr w:type="spellEnd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. 60–65% utilization vs industry 30–40%. Sub-linear staffing vs high labor intensity in traditional workshops. Lights-out production with full digital traceability. MAZAK + DMG MORI equipment (50–70% resale value).</w:t>
            </w:r>
          </w:p>
          <w:p w14:paraId="62EFB19A" w14:textId="77777777" w:rsidR="009B1EFD" w:rsidRPr="003074E1" w:rsidRDefault="003074E1">
            <w:pPr>
              <w:pBdr>
                <w:bottom w:val="single" w:sz="2" w:space="0" w:color="FF3E00"/>
              </w:pBdr>
              <w:spacing w:before="200"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FF3E00"/>
                <w:spacing w:val="80"/>
                <w:lang w:val="en-US"/>
              </w:rPr>
              <w:t>COMPETITIVE MOAT</w:t>
            </w:r>
          </w:p>
          <w:p w14:paraId="62EFB19B" w14:textId="77777777" w:rsidR="009B1EFD" w:rsidRPr="003074E1" w:rsidRDefault="003074E1">
            <w:pPr>
              <w:spacing w:after="30"/>
              <w:ind w:left="20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>▸</w:t>
            </w: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 xml:space="preserve"> </w:t>
            </w:r>
            <w:r w:rsidRPr="003074E1">
              <w:rPr>
                <w:rFonts w:ascii="Calibri" w:eastAsia="Calibri" w:hAnsi="Calibri" w:cs="Calibri"/>
                <w:color w:val="1A1A1A"/>
                <w:sz w:val="17"/>
                <w:szCs w:val="17"/>
                <w:lang w:val="en-US"/>
              </w:rPr>
              <w:t>Low labor intensity, sub-linear scaling — structurally impossible to retrofit.</w:t>
            </w:r>
          </w:p>
          <w:p w14:paraId="62EFB19C" w14:textId="77777777" w:rsidR="009B1EFD" w:rsidRPr="003074E1" w:rsidRDefault="003074E1">
            <w:pPr>
              <w:spacing w:after="30"/>
              <w:ind w:left="20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>▸</w:t>
            </w: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 xml:space="preserve"> </w:t>
            </w:r>
            <w:r w:rsidRPr="003074E1">
              <w:rPr>
                <w:rFonts w:ascii="Calibri" w:eastAsia="Calibri" w:hAnsi="Calibri" w:cs="Calibri"/>
                <w:color w:val="1A1A1A"/>
                <w:sz w:val="17"/>
                <w:szCs w:val="17"/>
                <w:lang w:val="en-US"/>
              </w:rPr>
              <w:t>50/50 profit-sharing creates customer lock-in.</w:t>
            </w:r>
          </w:p>
          <w:p w14:paraId="62EFB19D" w14:textId="77777777" w:rsidR="009B1EFD" w:rsidRPr="003074E1" w:rsidRDefault="003074E1">
            <w:pPr>
              <w:spacing w:after="30"/>
              <w:ind w:left="20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>▸</w:t>
            </w: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 xml:space="preserve"> </w:t>
            </w:r>
            <w:r w:rsidRPr="003074E1">
              <w:rPr>
                <w:rFonts w:ascii="Calibri" w:eastAsia="Calibri" w:hAnsi="Calibri" w:cs="Calibri"/>
                <w:color w:val="1A1A1A"/>
                <w:sz w:val="17"/>
                <w:szCs w:val="17"/>
                <w:lang w:val="en-US"/>
              </w:rPr>
              <w:t>ISO 9001 → AS9100 → AQAP NATO certification path.</w:t>
            </w:r>
          </w:p>
          <w:p w14:paraId="62EFB19E" w14:textId="77777777" w:rsidR="009B1EFD" w:rsidRPr="003074E1" w:rsidRDefault="003074E1">
            <w:pPr>
              <w:spacing w:after="30"/>
              <w:ind w:left="20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>▸</w:t>
            </w:r>
            <w:r w:rsidRPr="003074E1">
              <w:rPr>
                <w:rFonts w:ascii="Calibri" w:eastAsia="Calibri" w:hAnsi="Calibri" w:cs="Calibri"/>
                <w:color w:val="FF3E00"/>
                <w:sz w:val="17"/>
                <w:szCs w:val="17"/>
                <w:lang w:val="en-US"/>
              </w:rPr>
              <w:t xml:space="preserve"> </w:t>
            </w:r>
            <w:r w:rsidRPr="003074E1">
              <w:rPr>
                <w:rFonts w:ascii="Calibri" w:eastAsia="Calibri" w:hAnsi="Calibri" w:cs="Calibri"/>
                <w:color w:val="1A1A1A"/>
                <w:sz w:val="17"/>
                <w:szCs w:val="17"/>
                <w:lang w:val="en-US"/>
              </w:rPr>
              <w:t>Validated model: Hadrian (USA, $1.6B) confirms appetite.</w:t>
            </w:r>
          </w:p>
          <w:p w14:paraId="62EFB19F" w14:textId="77777777" w:rsidR="009B1EFD" w:rsidRPr="003074E1" w:rsidRDefault="003074E1">
            <w:pPr>
              <w:pBdr>
                <w:bottom w:val="single" w:sz="2" w:space="0" w:color="FF3E00"/>
              </w:pBdr>
              <w:spacing w:before="200"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FF3E00"/>
                <w:spacing w:val="80"/>
                <w:lang w:val="en-US"/>
              </w:rPr>
              <w:t>TEAM</w:t>
            </w:r>
          </w:p>
          <w:p w14:paraId="62EFB1A0" w14:textId="77777777" w:rsidR="009B1EFD" w:rsidRPr="003074E1" w:rsidRDefault="003074E1">
            <w:pPr>
              <w:spacing w:after="4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André Tandberg (</w:t>
            </w:r>
            <w:proofErr w:type="gramStart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CEO) —</w:t>
            </w:r>
            <w:proofErr w:type="gramEnd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 xml:space="preserve"> MD </w:t>
            </w:r>
            <w:proofErr w:type="spellStart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Nyskapingsfond</w:t>
            </w:r>
            <w:proofErr w:type="spellEnd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SpareBank</w:t>
            </w:r>
            <w:proofErr w:type="spellEnd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 xml:space="preserve"> 1 board</w:t>
            </w:r>
          </w:p>
          <w:p w14:paraId="62EFB1A1" w14:textId="77777777" w:rsidR="009B1EFD" w:rsidRPr="003074E1" w:rsidRDefault="003074E1">
            <w:pPr>
              <w:spacing w:after="4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 xml:space="preserve">Tore Ausland (VP </w:t>
            </w:r>
            <w:proofErr w:type="gramStart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BD) —</w:t>
            </w:r>
            <w:proofErr w:type="gramEnd"/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 xml:space="preserve"> 30yr O&amp;G: GE, FMC, Aker</w:t>
            </w:r>
          </w:p>
          <w:p w14:paraId="62EFB1A2" w14:textId="77777777" w:rsidR="009B1EFD" w:rsidRPr="003074E1" w:rsidRDefault="003074E1">
            <w:pPr>
              <w:spacing w:after="4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Henrik Strøm (CFO candidate) — Banking &amp; finance</w:t>
            </w:r>
          </w:p>
          <w:p w14:paraId="62EFB1A3" w14:textId="77777777" w:rsidR="009B1EFD" w:rsidRPr="003074E1" w:rsidRDefault="003074E1">
            <w:pPr>
              <w:spacing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Advisors: Torsnes (VW/TINE), Vangsal (CNC), Mollatt (Robotics)</w:t>
            </w:r>
          </w:p>
        </w:tc>
        <w:tc>
          <w:tcPr>
            <w:tcW w:w="5106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2EFB1A4" w14:textId="77777777" w:rsidR="009B1EFD" w:rsidRPr="003074E1" w:rsidRDefault="003074E1">
            <w:pPr>
              <w:pBdr>
                <w:bottom w:val="single" w:sz="2" w:space="0" w:color="FF3E00"/>
              </w:pBdr>
              <w:spacing w:before="200"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FF3E00"/>
                <w:spacing w:val="80"/>
                <w:lang w:val="en-US"/>
              </w:rPr>
              <w:t>FINANCING (REV6)</w:t>
            </w:r>
          </w:p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00"/>
              <w:gridCol w:w="1000"/>
              <w:gridCol w:w="1000"/>
              <w:gridCol w:w="800"/>
              <w:gridCol w:w="700"/>
            </w:tblGrid>
            <w:tr w:rsidR="009B1EFD" w:rsidRPr="003074E1" w14:paraId="62EFB1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A5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Round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A6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Equity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A7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Pre-$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A8" w14:textId="77777777" w:rsidR="009B1EFD" w:rsidRPr="003074E1" w:rsidRDefault="003074E1">
                  <w:pPr>
                    <w:rPr>
                      <w:lang w:val="en-US"/>
                    </w:rPr>
                  </w:pPr>
                  <w:proofErr w:type="spellStart"/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Dilut</w:t>
                  </w:r>
                  <w:proofErr w:type="spellEnd"/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.</w:t>
                  </w:r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A9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ROI</w:t>
                  </w:r>
                </w:p>
              </w:tc>
            </w:tr>
            <w:tr w:rsidR="009B1EFD" w:rsidRPr="003074E1" w14:paraId="62EFB1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AB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Pre-Seed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AC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5M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AD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25M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AE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16.7%</w:t>
                  </w:r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AF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46.6x</w:t>
                  </w:r>
                </w:p>
              </w:tc>
            </w:tr>
            <w:tr w:rsidR="009B1EFD" w:rsidRPr="003074E1" w14:paraId="62EFB1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1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Seed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2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51.3M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3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130M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4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28.3%</w:t>
                  </w:r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5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10.8x</w:t>
                  </w:r>
                </w:p>
              </w:tc>
            </w:tr>
            <w:tr w:rsidR="009B1EFD" w:rsidRPr="003074E1" w14:paraId="62EFB1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7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Serie A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8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45M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9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TBD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A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TBD</w:t>
                  </w:r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B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TBD</w:t>
                  </w:r>
                </w:p>
              </w:tc>
            </w:tr>
            <w:tr w:rsidR="009B1EFD" w:rsidRPr="003074E1" w14:paraId="62EFB1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D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Total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E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101.3M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BF" w14:textId="77777777" w:rsidR="009B1EFD" w:rsidRPr="003074E1" w:rsidRDefault="009B1EFD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C0" w14:textId="77777777" w:rsidR="009B1EFD" w:rsidRPr="003074E1" w:rsidRDefault="009B1EFD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C1" w14:textId="77777777" w:rsidR="009B1EFD" w:rsidRPr="003074E1" w:rsidRDefault="009B1EFD">
                  <w:pPr>
                    <w:rPr>
                      <w:lang w:val="en-US"/>
                    </w:rPr>
                  </w:pPr>
                </w:p>
              </w:tc>
            </w:tr>
          </w:tbl>
          <w:p w14:paraId="62EFB1C3" w14:textId="77777777" w:rsidR="009B1EFD" w:rsidRPr="003074E1" w:rsidRDefault="009B1EFD">
            <w:pPr>
              <w:spacing w:after="40"/>
              <w:rPr>
                <w:lang w:val="en-US"/>
              </w:rPr>
            </w:pPr>
          </w:p>
          <w:p w14:paraId="62EFB1C4" w14:textId="77777777" w:rsidR="009B1EFD" w:rsidRPr="003074E1" w:rsidRDefault="003074E1">
            <w:pPr>
              <w:spacing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CAPEX: 10 MNOK/CNC. Founders retain 50.6% post-Serie A.</w:t>
            </w:r>
          </w:p>
          <w:p w14:paraId="62EFB1C5" w14:textId="77777777" w:rsidR="009B1EFD" w:rsidRPr="003074E1" w:rsidRDefault="003074E1">
            <w:pPr>
              <w:pBdr>
                <w:bottom w:val="single" w:sz="2" w:space="0" w:color="FF3E00"/>
              </w:pBdr>
              <w:spacing w:before="200"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FF3E00"/>
                <w:spacing w:val="80"/>
                <w:lang w:val="en-US"/>
              </w:rPr>
              <w:t>KEY FINANCIAL METRICS</w:t>
            </w:r>
          </w:p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2000"/>
            </w:tblGrid>
            <w:tr w:rsidR="009B1EFD" w:rsidRPr="003074E1" w14:paraId="62EFB1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C6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Metric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C7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Value</w:t>
                  </w:r>
                </w:p>
              </w:tc>
            </w:tr>
            <w:tr w:rsidR="009B1EFD" w:rsidRPr="003074E1" w14:paraId="62EFB1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C9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Revenue (20 CNC, 60%)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CA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~315 MNOK</w:t>
                  </w:r>
                </w:p>
              </w:tc>
            </w:tr>
            <w:tr w:rsidR="009B1EFD" w:rsidRPr="003074E1" w14:paraId="62EFB1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CC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Exit Valuation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CD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2.3B NOK</w:t>
                  </w:r>
                </w:p>
              </w:tc>
            </w:tr>
            <w:tr w:rsidR="009B1EFD" w:rsidRPr="003074E1" w14:paraId="62EFB1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CF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Exit Multiple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0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10x EBITDA</w:t>
                  </w:r>
                </w:p>
              </w:tc>
            </w:tr>
            <w:tr w:rsidR="009B1EFD" w:rsidRPr="003074E1" w14:paraId="62EFB1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2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Break-even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3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~24% util. (5 CNC)</w:t>
                  </w:r>
                </w:p>
              </w:tc>
            </w:tr>
            <w:tr w:rsidR="009B1EFD" w:rsidRPr="003074E1" w14:paraId="62EFB1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5" w14:textId="77777777" w:rsidR="009B1EFD" w:rsidRPr="003074E1" w:rsidRDefault="003074E1">
                  <w:pPr>
                    <w:rPr>
                      <w:lang w:val="en-US"/>
                    </w:rPr>
                  </w:pPr>
                  <w:proofErr w:type="spellStart"/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Accum</w:t>
                  </w:r>
                  <w:proofErr w:type="spellEnd"/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. Profit ’27–’35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6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~1,254 MNOK</w:t>
                  </w:r>
                </w:p>
              </w:tc>
            </w:tr>
            <w:tr w:rsidR="009B1EFD" w:rsidRPr="003074E1" w14:paraId="62EFB1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8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First Revenue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9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August 2027</w:t>
                  </w:r>
                </w:p>
              </w:tc>
            </w:tr>
            <w:tr w:rsidR="009B1EFD" w:rsidRPr="003074E1" w14:paraId="62EFB1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B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Self-funded from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DC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~2030</w:t>
                  </w:r>
                </w:p>
              </w:tc>
            </w:tr>
          </w:tbl>
          <w:p w14:paraId="62EFB1DE" w14:textId="77777777" w:rsidR="009B1EFD" w:rsidRPr="003074E1" w:rsidRDefault="003074E1">
            <w:pPr>
              <w:pBdr>
                <w:bottom w:val="single" w:sz="2" w:space="0" w:color="FF3E00"/>
              </w:pBdr>
              <w:spacing w:before="200"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FF3E00"/>
                <w:spacing w:val="80"/>
                <w:lang w:val="en-US"/>
              </w:rPr>
              <w:t>SCALING PATH</w:t>
            </w:r>
          </w:p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  <w:gridCol w:w="900"/>
              <w:gridCol w:w="1000"/>
              <w:gridCol w:w="900"/>
              <w:gridCol w:w="800"/>
            </w:tblGrid>
            <w:tr w:rsidR="009B1EFD" w:rsidRPr="003074E1" w14:paraId="62EFB1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DF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Year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E0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CNC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E1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Util.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E2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Rev.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EFB1E3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17"/>
                      <w:szCs w:val="17"/>
                      <w:lang w:val="en-US"/>
                    </w:rPr>
                    <w:t>Staff</w:t>
                  </w:r>
                </w:p>
              </w:tc>
            </w:tr>
            <w:tr w:rsidR="009B1EFD" w:rsidRPr="003074E1" w14:paraId="62EFB1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5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2027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6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5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7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20%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8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~11M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9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10</w:t>
                  </w:r>
                </w:p>
              </w:tc>
            </w:tr>
            <w:tr w:rsidR="009B1EFD" w:rsidRPr="003074E1" w14:paraId="62EFB1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B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2028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C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5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D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37.5%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E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49.3M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EF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10</w:t>
                  </w:r>
                </w:p>
              </w:tc>
            </w:tr>
            <w:tr w:rsidR="009B1EFD" w:rsidRPr="003074E1" w14:paraId="62EFB1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1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2030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2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17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3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47.5%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4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~212M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5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17</w:t>
                  </w:r>
                </w:p>
              </w:tc>
            </w:tr>
            <w:tr w:rsidR="009B1EFD" w:rsidRPr="003074E1" w14:paraId="62EFB1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7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2035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8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25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9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65%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A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~427M</w:t>
                  </w:r>
                </w:p>
              </w:tc>
              <w:tc>
                <w:tcPr>
                  <w:tcW w:w="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EFB1FB" w14:textId="77777777" w:rsidR="009B1EFD" w:rsidRPr="003074E1" w:rsidRDefault="003074E1">
                  <w:pPr>
                    <w:rPr>
                      <w:lang w:val="en-US"/>
                    </w:rPr>
                  </w:pPr>
                  <w:r w:rsidRPr="003074E1">
                    <w:rPr>
                      <w:rFonts w:ascii="Calibri" w:eastAsia="Calibri" w:hAnsi="Calibri" w:cs="Calibri"/>
                      <w:color w:val="1A1A1A"/>
                      <w:sz w:val="17"/>
                      <w:szCs w:val="17"/>
                      <w:lang w:val="en-US"/>
                    </w:rPr>
                    <w:t>24</w:t>
                  </w:r>
                </w:p>
              </w:tc>
            </w:tr>
          </w:tbl>
          <w:p w14:paraId="62EFB1FD" w14:textId="77777777" w:rsidR="009B1EFD" w:rsidRPr="003074E1" w:rsidRDefault="003074E1">
            <w:pPr>
              <w:pBdr>
                <w:bottom w:val="single" w:sz="2" w:space="0" w:color="FF3E00"/>
              </w:pBdr>
              <w:spacing w:before="200"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FF3E00"/>
                <w:spacing w:val="80"/>
                <w:lang w:val="en-US"/>
              </w:rPr>
              <w:t>THE ASK</w:t>
            </w:r>
          </w:p>
          <w:p w14:paraId="62EFB1FE" w14:textId="77777777" w:rsidR="009B1EFD" w:rsidRPr="003074E1" w:rsidRDefault="003074E1">
            <w:pPr>
              <w:spacing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1A1A1A"/>
                <w:lang w:val="en-US"/>
              </w:rPr>
              <w:t>Pre-Seed: 5 MNOK</w:t>
            </w: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 xml:space="preserve"> at 25 MNOK pre-money (16.7% dilution)</w:t>
            </w:r>
          </w:p>
          <w:p w14:paraId="62EFB1FF" w14:textId="77777777" w:rsidR="009B1EFD" w:rsidRPr="003074E1" w:rsidRDefault="003074E1">
            <w:pPr>
              <w:spacing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color w:val="1A1A1A"/>
                <w:sz w:val="18"/>
                <w:szCs w:val="18"/>
                <w:lang w:val="en-US"/>
              </w:rPr>
              <w:t>Use of funds: concept validation, customer discovery, supplier LOIs, regulatory groundwork, team building.</w:t>
            </w:r>
          </w:p>
          <w:p w14:paraId="62EFB200" w14:textId="77777777" w:rsidR="009B1EFD" w:rsidRPr="003074E1" w:rsidRDefault="003074E1">
            <w:pPr>
              <w:spacing w:after="80"/>
              <w:rPr>
                <w:lang w:val="en-US"/>
              </w:rPr>
            </w:pPr>
            <w:r w:rsidRPr="003074E1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  <w:lang w:val="en-US"/>
              </w:rPr>
              <w:t>Projected investor ROI: ~46.6x at exit.</w:t>
            </w:r>
          </w:p>
        </w:tc>
      </w:tr>
    </w:tbl>
    <w:p w14:paraId="62EFB202" w14:textId="77777777" w:rsidR="003074E1" w:rsidRPr="003074E1" w:rsidRDefault="003074E1">
      <w:pPr>
        <w:rPr>
          <w:lang w:val="en-US"/>
        </w:rPr>
      </w:pPr>
    </w:p>
    <w:sectPr w:rsidR="00000000" w:rsidRPr="003074E1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B208" w14:textId="77777777" w:rsidR="003074E1" w:rsidRDefault="003074E1">
      <w:r>
        <w:separator/>
      </w:r>
    </w:p>
  </w:endnote>
  <w:endnote w:type="continuationSeparator" w:id="0">
    <w:p w14:paraId="62EFB20A" w14:textId="77777777" w:rsidR="003074E1" w:rsidRDefault="00307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B203" w14:textId="77777777" w:rsidR="009B1EFD" w:rsidRPr="003074E1" w:rsidRDefault="003074E1">
    <w:pPr>
      <w:jc w:val="center"/>
      <w:rPr>
        <w:lang w:val="en-US"/>
      </w:rPr>
    </w:pPr>
    <w:r w:rsidRPr="003074E1">
      <w:rPr>
        <w:rFonts w:ascii="Calibri" w:eastAsia="Calibri" w:hAnsi="Calibri" w:cs="Calibri"/>
        <w:color w:val="666666"/>
        <w:sz w:val="14"/>
        <w:szCs w:val="14"/>
        <w:lang w:val="en-US"/>
      </w:rPr>
      <w:t>Aurelian Manufacturing AS  |  andre@aurelian.no  |  tore@aurelian.no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B204" w14:textId="77777777" w:rsidR="003074E1" w:rsidRDefault="003074E1">
      <w:r>
        <w:separator/>
      </w:r>
    </w:p>
  </w:footnote>
  <w:footnote w:type="continuationSeparator" w:id="0">
    <w:p w14:paraId="62EFB206" w14:textId="77777777" w:rsidR="003074E1" w:rsidRDefault="00307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B202" w14:textId="77777777" w:rsidR="009B1EFD" w:rsidRDefault="003074E1">
    <w:pPr>
      <w:jc w:val="right"/>
    </w:pPr>
    <w:r>
      <w:rPr>
        <w:rFonts w:ascii="Calibri" w:eastAsia="Calibri" w:hAnsi="Calibri" w:cs="Calibri"/>
        <w:i/>
        <w:iCs/>
        <w:color w:val="666666"/>
        <w:sz w:val="15"/>
        <w:szCs w:val="15"/>
      </w:rPr>
      <w:t xml:space="preserve">Aurelian </w:t>
    </w:r>
    <w:proofErr w:type="spellStart"/>
    <w:proofErr w:type="gramStart"/>
    <w:r>
      <w:rPr>
        <w:rFonts w:ascii="Calibri" w:eastAsia="Calibri" w:hAnsi="Calibri" w:cs="Calibri"/>
        <w:i/>
        <w:iCs/>
        <w:color w:val="666666"/>
        <w:sz w:val="15"/>
        <w:szCs w:val="15"/>
      </w:rPr>
      <w:t>Manufacturing</w:t>
    </w:r>
    <w:proofErr w:type="spellEnd"/>
    <w:r>
      <w:rPr>
        <w:rFonts w:ascii="Calibri" w:eastAsia="Calibri" w:hAnsi="Calibri" w:cs="Calibri"/>
        <w:i/>
        <w:iCs/>
        <w:color w:val="666666"/>
        <w:sz w:val="15"/>
        <w:szCs w:val="15"/>
      </w:rPr>
      <w:t xml:space="preserve">  |</w:t>
    </w:r>
    <w:proofErr w:type="gramEnd"/>
    <w:r>
      <w:rPr>
        <w:rFonts w:ascii="Calibri" w:eastAsia="Calibri" w:hAnsi="Calibri" w:cs="Calibri"/>
        <w:i/>
        <w:iCs/>
        <w:color w:val="666666"/>
        <w:sz w:val="15"/>
        <w:szCs w:val="15"/>
      </w:rPr>
      <w:t xml:space="preserve">  Investment </w:t>
    </w:r>
    <w:proofErr w:type="spellStart"/>
    <w:proofErr w:type="gramStart"/>
    <w:r>
      <w:rPr>
        <w:rFonts w:ascii="Calibri" w:eastAsia="Calibri" w:hAnsi="Calibri" w:cs="Calibri"/>
        <w:i/>
        <w:iCs/>
        <w:color w:val="666666"/>
        <w:sz w:val="15"/>
        <w:szCs w:val="15"/>
      </w:rPr>
      <w:t>Teaser</w:t>
    </w:r>
    <w:proofErr w:type="spellEnd"/>
    <w:r>
      <w:rPr>
        <w:rFonts w:ascii="Calibri" w:eastAsia="Calibri" w:hAnsi="Calibri" w:cs="Calibri"/>
        <w:i/>
        <w:iCs/>
        <w:color w:val="666666"/>
        <w:sz w:val="15"/>
        <w:szCs w:val="15"/>
      </w:rPr>
      <w:t xml:space="preserve">  |</w:t>
    </w:r>
    <w:proofErr w:type="gramEnd"/>
    <w:r>
      <w:rPr>
        <w:rFonts w:ascii="Calibri" w:eastAsia="Calibri" w:hAnsi="Calibri" w:cs="Calibri"/>
        <w:i/>
        <w:iCs/>
        <w:color w:val="666666"/>
        <w:sz w:val="15"/>
        <w:szCs w:val="15"/>
      </w:rPr>
      <w:t xml:space="preserve">  Konfidensielt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4346"/>
    <w:multiLevelType w:val="hybridMultilevel"/>
    <w:tmpl w:val="0BD2B0F0"/>
    <w:lvl w:ilvl="0" w:tplc="8FD0AF8A">
      <w:start w:val="1"/>
      <w:numFmt w:val="bullet"/>
      <w:lvlText w:val="●"/>
      <w:lvlJc w:val="left"/>
      <w:pPr>
        <w:ind w:left="720" w:hanging="360"/>
      </w:pPr>
    </w:lvl>
    <w:lvl w:ilvl="1" w:tplc="F04C455E">
      <w:start w:val="1"/>
      <w:numFmt w:val="bullet"/>
      <w:lvlText w:val="○"/>
      <w:lvlJc w:val="left"/>
      <w:pPr>
        <w:ind w:left="1440" w:hanging="360"/>
      </w:pPr>
    </w:lvl>
    <w:lvl w:ilvl="2" w:tplc="A4CCB83E">
      <w:start w:val="1"/>
      <w:numFmt w:val="bullet"/>
      <w:lvlText w:val="■"/>
      <w:lvlJc w:val="left"/>
      <w:pPr>
        <w:ind w:left="2160" w:hanging="360"/>
      </w:pPr>
    </w:lvl>
    <w:lvl w:ilvl="3" w:tplc="D578DBEC">
      <w:start w:val="1"/>
      <w:numFmt w:val="bullet"/>
      <w:lvlText w:val="●"/>
      <w:lvlJc w:val="left"/>
      <w:pPr>
        <w:ind w:left="2880" w:hanging="360"/>
      </w:pPr>
    </w:lvl>
    <w:lvl w:ilvl="4" w:tplc="742E9754">
      <w:start w:val="1"/>
      <w:numFmt w:val="bullet"/>
      <w:lvlText w:val="○"/>
      <w:lvlJc w:val="left"/>
      <w:pPr>
        <w:ind w:left="3600" w:hanging="360"/>
      </w:pPr>
    </w:lvl>
    <w:lvl w:ilvl="5" w:tplc="E5A6B5E8">
      <w:start w:val="1"/>
      <w:numFmt w:val="bullet"/>
      <w:lvlText w:val="■"/>
      <w:lvlJc w:val="left"/>
      <w:pPr>
        <w:ind w:left="4320" w:hanging="360"/>
      </w:pPr>
    </w:lvl>
    <w:lvl w:ilvl="6" w:tplc="0FB627DC">
      <w:start w:val="1"/>
      <w:numFmt w:val="bullet"/>
      <w:lvlText w:val="●"/>
      <w:lvlJc w:val="left"/>
      <w:pPr>
        <w:ind w:left="5040" w:hanging="360"/>
      </w:pPr>
    </w:lvl>
    <w:lvl w:ilvl="7" w:tplc="A1886C04">
      <w:start w:val="1"/>
      <w:numFmt w:val="bullet"/>
      <w:lvlText w:val="●"/>
      <w:lvlJc w:val="left"/>
      <w:pPr>
        <w:ind w:left="5760" w:hanging="360"/>
      </w:pPr>
    </w:lvl>
    <w:lvl w:ilvl="8" w:tplc="2CAE61A0">
      <w:start w:val="1"/>
      <w:numFmt w:val="bullet"/>
      <w:lvlText w:val="●"/>
      <w:lvlJc w:val="left"/>
      <w:pPr>
        <w:ind w:left="6480" w:hanging="360"/>
      </w:pPr>
    </w:lvl>
  </w:abstractNum>
  <w:num w:numId="1" w16cid:durableId="1160731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EFD"/>
    <w:rsid w:val="003074E1"/>
    <w:rsid w:val="009B1EFD"/>
    <w:rsid w:val="00AF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B18F"/>
  <w15:docId w15:val="{3441D670-21B7-4CBD-A02C-507B55F2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2026-02-15T15:57:00Z</dcterms:created>
  <dcterms:modified xsi:type="dcterms:W3CDTF">2026-02-15T15:57:00Z</dcterms:modified>
</cp:coreProperties>
</file>