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 w:line="300"/>
        <w:jc w:val="center"/>
      </w:pPr>
      <w:r>
        <w:rPr>
          <w:rFonts w:ascii="Calibri" w:cs="Calibri" w:eastAsia="Calibri" w:hAnsi="Calibri"/>
          <w:b/>
          <w:bCs/>
          <w:color w:val="FF3E00"/>
          <w:sz w:val="44"/>
          <w:szCs w:val="44"/>
        </w:rPr>
        <w:t xml:space="preserve">Aurelian Manufacturing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120" w:line="300"/>
        <w:jc w:val="center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Grunnlag for Verdisetting</w:t>
      </w:r>
    </w:p>
    <w:p>
      <w:pPr>
        <w:spacing w:after="240" w:line="3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Ramp-up, transjevis skalering og økonomisk utvikling</w:t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240"/>
      </w:pPr>
      <w:r>
        <w:t xml:space="preserve"/>
      </w:r>
    </w:p>
    <w:p>
      <w:pPr>
        <w:spacing w:after="80" w:line="3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Aurelian Manufacturing AS</w:t>
      </w:r>
    </w:p>
    <w:p>
      <w:pPr>
        <w:spacing w:after="80" w:line="3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VDR Dokument 02</w:t>
      </w:r>
    </w:p>
    <w:p>
      <w:pPr>
        <w:spacing w:after="80" w:line="300"/>
        <w:jc w:val="center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Februar 2026</w:t>
      </w:r>
    </w:p>
    <w:p>
      <w:pPr>
        <w:spacing w:after="240" w:line="300"/>
        <w:jc w:val="center"/>
      </w:pPr>
      <w:r>
        <w:rPr>
          <w:rFonts w:ascii="Calibri" w:cs="Calibri" w:eastAsia="Calibri" w:hAnsi="Calibri"/>
          <w:b/>
          <w:bCs/>
          <w:color w:val="FF3E00"/>
          <w:sz w:val="21"/>
          <w:szCs w:val="21"/>
        </w:rPr>
        <w:t xml:space="preserve">Konfidensielt</w:t>
      </w:r>
    </w:p>
    <w:p>
      <w:r>
        <w:br w:type="page"/>
      </w:r>
    </w:p>
    <w:p>
      <w:pPr>
        <w:spacing w:after="240" w:line="300"/>
        <w:jc w:val="left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Sammenheng med Finansieringsplan: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Grunnlaget for verdsettelse i dette dokumentet er direkte forankret i den industrielle verdiskapingen, kontantstrømpotensialet og skaleringslogikken som senere benyttes i Revidert Finansieringsplan med Pre-Money Valuations.</w:t>
      </w:r>
    </w:p>
    <w:p>
      <w:pPr>
        <w:pStyle w:val="Heading1"/>
        <w:spacing w:after="140" w:line="300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1. Låst metodikk og forutsetninger</w:t>
      </w:r>
    </w:p>
    <w:p>
      <w:pPr>
        <w:pStyle w:val="Heading2"/>
        <w:spacing w:after="140" w:line="3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1.1 Kapasitetsgrunnlag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Teoretiske timer: 8.760 timer/år (24/7)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Normalisert timepris: 3.000 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Teoretisk omsetning per CNC ved 100%: 26.28 MNOK/år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Note: Utnyttelsesgrad refererer til 8.760 timer, ikke begrenset driftstimetall</w:t>
      </w:r>
    </w:p>
    <w:p>
      <w:pPr>
        <w:pStyle w:val="Heading2"/>
        <w:spacing w:after="140" w:line="3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1.2 Kostnadsstruktur (fra REV6)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Variable kostnader: 8% av omsetning (moden drift); 13% i oppstart (2027-2028)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Variable cost curve: 13% (2027-28) → 11.75% (2029) → 10.5% (2030) → 9.25% (2031) → 8% (2032+)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kostnad ved 20 CNC steady state (60% util, 8% var): ~92.75 MNOK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CAPEX per CNC inkl. automasjon: 10 MNOK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Avskrivning: 1.25 MNOK per CNC per år (8 års levetid)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Personalkostnad: 0.8 FTE/CNC operasjon + 4 admin FTE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Facility lease: 5.2 MNOK/år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Annen driftskostnad: 150.000 NOK per CNC per år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Shop base setup: 8.6 MNOK per site</w:t>
      </w:r>
    </w:p>
    <w:p>
      <w:pPr>
        <w:spacing w:after="140"/>
      </w:pPr>
      <w:r>
        <w:t xml:space="preserve"/>
      </w:r>
    </w:p>
    <w:p>
      <w:pPr>
        <w:pStyle w:val="Heading1"/>
        <w:spacing w:after="140" w:line="300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2. Fasevis ramp-up og finansieringsstruktur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Pre-Seed: 5 MNOK — etablering, forprosjekt, risikoreduksjon (ingen maskin-CAPEX)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Seed: 51.3 MNOK egenkapital + 29.3 MNOK bankgjeld. 5 CNC-maskiner med 50% egenkapitalandel. Buffer: 10 MNOK.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Serie A: 45 MNOK egenkapital + 105 MNOK bankgjeld. 15 nye CNC (3×5 transjer) med 30% egenkapitalandel.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Total equity: 101.3 MNOK</w:t>
      </w:r>
    </w:p>
    <w:p>
      <w:pPr>
        <w:spacing w:after="140"/>
      </w:pPr>
      <w:r>
        <w:t xml:space="preserve"/>
      </w:r>
    </w:p>
    <w:p>
      <w:pPr>
        <w:pStyle w:val="Heading1"/>
        <w:spacing w:after="140" w:line="300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3. Modent verksted — REV6 omsetning og resultat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Tabell 3A — År-for-år finansielt oppsett (REV6 verdier)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88"/>
        <w:gridCol w:w="1188"/>
        <w:gridCol w:w="1188"/>
        <w:gridCol w:w="1188"/>
        <w:gridCol w:w="1188"/>
        <w:gridCol w:w="1188"/>
        <w:gridCol w:w="1188"/>
        <w:gridCol w:w="1188"/>
      </w:tblGrid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Regnskapsår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Snitt CNC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Snitt util.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Omsetning (MNOK)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Kostnader (MNOK)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Brutto (MNOK)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Kundeprog. (MNOK)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Aurelian (MNOK)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2027 H2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10.9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13.4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-2.5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-2.5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2028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37.5%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49.3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34.1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15.2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15.2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2029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42.5%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61.1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72.9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72.9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17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47.5%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80.2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131.8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—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131.8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2031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52.5%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276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92.8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183.2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166.8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57.5%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92.4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209.6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27.3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182.3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2033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60%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347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98.0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249.0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42.0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207.0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62.5%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394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103.8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290.2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57.6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232.6</w:t>
            </w:r>
          </w:p>
        </w:tc>
      </w:tr>
      <w:tr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25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65%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427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107.2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319.8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72.0</w:t>
            </w:r>
          </w:p>
        </w:tc>
        <w:tc>
          <w:tcPr>
            <w:tcW w:type="dxa" w:w="118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247.8</w:t>
            </w:r>
          </w:p>
        </w:tc>
      </w:tr>
    </w:tbl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Akkumulert Aurelian-fortjeneste 2027–2035: ~1.254 MNOK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Kundeprogram: gjelder kun når flåteutnyttelse overstiger 45%, kun for kvalifiserte strategiske kunder</w:t>
      </w:r>
    </w:p>
    <w:p>
      <w:pPr>
        <w:spacing w:after="140"/>
      </w:pPr>
      <w:r>
        <w:t xml:space="preserve"/>
      </w:r>
    </w:p>
    <w:p>
      <w:pPr>
        <w:pStyle w:val="Heading1"/>
        <w:spacing w:after="140" w:line="300"/>
      </w:pPr>
      <w:r>
        <w:rPr>
          <w:rFonts w:ascii="Calibri" w:cs="Calibri" w:eastAsia="Calibri" w:hAnsi="Calibri"/>
          <w:b/>
          <w:bCs/>
          <w:color w:val="FF3E00"/>
          <w:sz w:val="28"/>
          <w:szCs w:val="28"/>
        </w:rPr>
        <w:t xml:space="preserve">4. Akkumulert finansiell prognose</w:t>
      </w:r>
    </w:p>
    <w:p>
      <w:pPr>
        <w:spacing w:after="140" w:line="30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Tabell 4 — Akkumulert fremskrivning (fra Tabell 3A)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År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Årlig omsetning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Fortjeneste totalt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Kundeprogram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Aurelian fortjeneste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3E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Akkumulert Aurelian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2027 H2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10.9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-2.5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-2.5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-2.5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49.3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15.2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15.2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12.7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2029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72.9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85.6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131.8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131.8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217.4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2031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276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183.2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16.4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166.8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384.2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302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209.6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27.3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182.3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566.5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2033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347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249.0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42.0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207.0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773.5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394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290.2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57.6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232.6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1.006.1</w:t>
            </w:r>
          </w:p>
        </w:tc>
      </w:tr>
      <w:tr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2035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427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319.8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72.0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247.8</w:t>
            </w:r>
          </w:p>
        </w:tc>
        <w:tc>
          <w:tcPr>
            <w:tcW w:type="dxa" w:w="158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line="30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21"/>
                <w:szCs w:val="21"/>
              </w:rPr>
              <w:t xml:space="preserve">1.253.9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40" w:line="3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4.1 Tolkning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Delingsmekanismen aktiveres først etter dokumentert flyt (&gt;45% utnyttelse)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Nedside og basislønnsomhet påvirkes ikke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Kundeandel synliggjøres eksplisitt som egen linje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Aurelians akkumulerte fortjeneste: ~1.254 MNOK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Ordningen fremstår som et operativt insentiv, ikke strukturell marginreduksjon</w:t>
      </w:r>
    </w:p>
    <w:p>
      <w:pPr>
        <w:spacing w:after="140"/>
      </w:pPr>
      <w:r>
        <w:t xml:space="preserve"/>
      </w:r>
    </w:p>
    <w:p>
      <w:pPr>
        <w:pStyle w:val="Heading2"/>
        <w:spacing w:after="140" w:line="300"/>
      </w:pPr>
      <w:r>
        <w:rPr>
          <w:rFonts w:ascii="Calibri" w:cs="Calibri" w:eastAsia="Calibri" w:hAnsi="Calibri"/>
          <w:b/>
          <w:bCs/>
          <w:color w:val="333333"/>
          <w:sz w:val="24"/>
          <w:szCs w:val="24"/>
        </w:rPr>
        <w:t xml:space="preserve">4.2 Note — akkumulert verdifordeling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Akkumulert kundeprogram (2031-2035): ~215.3 MNOK</w:t>
      </w:r>
    </w:p>
    <w:p>
      <w:pPr>
        <w:pStyle w:val="ListParagraph"/>
        <w:numPr>
          <w:ilvl w:val="0"/>
          <w:numId w:val="2"/>
        </w:numPr>
        <w:spacing w:after="140" w:line="30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Akkumulert fortjeneste Aurelian etter deling: ~1.254 MNOK</w:t>
      </w:r>
    </w:p>
    <w:sectPr>
      <w:headerReference w:type="default" r:id="rId6"/>
      <w:footerReference w:type="default" r:id="rId7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Confidential — Page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999999"/>
        <w:sz w:val="16"/>
        <w:szCs w:val="16"/>
      </w:rPr>
      <w:t xml:space="preserve">Aurelian Manufacturing  |  VDR 02 — Financial  |  Konfidensielt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14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40" w:line="300"/>
      <w:outlineLvl w:val="0"/>
    </w:pPr>
    <w:rPr>
      <w:rFonts w:ascii="Calibri" w:cs="Calibri" w:eastAsia="Calibri" w:hAnsi="Calibri"/>
      <w:b/>
      <w:bCs/>
      <w:color w:val="FF3E00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40" w:line="300"/>
      <w:outlineLvl w:val="1"/>
    </w:pPr>
    <w:rPr>
      <w:rFonts w:ascii="Calibri" w:cs="Calibri" w:eastAsia="Calibri" w:hAnsi="Calibr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2026-02-13T10:36:04.362Z</dcterms:created>
  <dcterms:modified xsi:type="dcterms:W3CDTF">2026-02-13T10:36:04.363Z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