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pPr>
            <w:r>
              <w:rPr>
                <w:rFonts w:ascii="Calibri" w:cs="Calibri" w:eastAsia="Calibri" w:hAnsi="Calibri"/>
                <w:b/>
                <w:bCs/>
                <w:color w:val="1A1A1A"/>
                <w:sz w:val="34"/>
                <w:szCs w:val="34"/>
              </w:rPr>
              <w:t xml:space="preserve">AKSELERASJONS-</w:t>
            </w:r>
          </w:p>
          <w:p>
            <w:pPr>
              <w:spacing w:after="40"/>
            </w:pPr>
            <w:r>
              <w:rPr>
                <w:rFonts w:ascii="Calibri" w:cs="Calibri" w:eastAsia="Calibri" w:hAnsi="Calibri"/>
                <w:b/>
                <w:bCs/>
                <w:color w:val="1A1A1A"/>
                <w:sz w:val="34"/>
                <w:szCs w:val="34"/>
              </w:rPr>
              <w:t xml:space="preserve">VILKÅR</w:t>
            </w:r>
          </w:p>
          <w:p>
            <w:pPr>
              <w:spacing w:after="20"/>
            </w:pPr>
            <w:r>
              <w:rPr>
                <w:rFonts w:ascii="Calibri" w:cs="Calibri" w:eastAsia="Calibri" w:hAnsi="Calibri"/>
                <w:color w:val="FF3E00"/>
                <w:sz w:val="22"/>
                <w:szCs w:val="22"/>
              </w:rPr>
              <w:t xml:space="preserve">Dobbel trigger  |  Vedlegg til §2.3</w:t>
            </w:r>
          </w:p>
          <w:p>
            <w:pPr>
              <w:spacing w:after="200"/>
            </w:pPr>
            <w:r>
              <w:rPr>
                <w:rFonts w:ascii="Calibri" w:cs="Calibri" w:eastAsia="Calibri" w:hAnsi="Calibri"/>
                <w:color w:val="666666"/>
                <w:sz w:val="18"/>
                <w:szCs w:val="18"/>
              </w:rPr>
              <w:t xml:space="preserve">Aurelian Manufacturing AS  |  VDR 01  |  Februar 2026</w:t>
            </w:r>
          </w:p>
        </w:tc>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40"/>
            </w:pPr>
            <w:r>
              <w:rPr>
                <w:rFonts w:ascii="Calibri" w:cs="Calibri" w:eastAsia="Calibri" w:hAnsi="Calibri"/>
                <w:b/>
                <w:bCs/>
                <w:color w:val="1A1A1A"/>
                <w:spacing w:val="30"/>
                <w:sz w:val="32"/>
                <w:szCs w:val="32"/>
              </w:rPr>
              <w:t xml:space="preserve">ACCELERATION TERMS</w:t>
            </w:r>
          </w:p>
          <w:p>
            <w:pPr>
              <w:spacing w:after="20"/>
            </w:pPr>
            <w:r>
              <w:rPr>
                <w:rFonts w:ascii="Calibri" w:cs="Calibri" w:eastAsia="Calibri" w:hAnsi="Calibri"/>
                <w:color w:val="FF3E00"/>
                <w:sz w:val="22"/>
                <w:szCs w:val="22"/>
              </w:rPr>
              <w:t xml:space="preserve">Double Trigger  |  Schedule to §2.3</w:t>
            </w:r>
          </w:p>
          <w:p>
            <w:pPr>
              <w:spacing w:after="200"/>
            </w:pPr>
            <w:r>
              <w:rPr>
                <w:rFonts w:ascii="Calibri" w:cs="Calibri" w:eastAsia="Calibri" w:hAnsi="Calibri"/>
                <w:color w:val="666666"/>
                <w:sz w:val="18"/>
                <w:szCs w:val="18"/>
              </w:rPr>
              <w:t xml:space="preserve">Aurelian Manufacturing AS  |  VDR 01  |  February 2026</w:t>
            </w:r>
          </w:p>
        </w:tc>
      </w:tr>
      <w:tr>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pBdr>
                <w:bottom w:val="single" w:color="FF3E00" w:sz="2"/>
              </w:pBdr>
              <w:spacing w:before="200" w:after="80"/>
            </w:pPr>
            <w:r>
              <w:rPr>
                <w:rFonts w:ascii="Calibri" w:cs="Calibri" w:eastAsia="Calibri" w:hAnsi="Calibri"/>
                <w:b/>
                <w:bCs/>
                <w:color w:val="FF3E00"/>
                <w:spacing w:val="50"/>
                <w:sz w:val="20"/>
                <w:szCs w:val="20"/>
              </w:rPr>
              <w:t xml:space="preserve">§ A.1  FORMÅL</w:t>
            </w:r>
          </w:p>
        </w:tc>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pBdr>
                <w:bottom w:val="single" w:color="FF3E00" w:sz="2"/>
              </w:pBdr>
              <w:spacing w:before="200" w:after="80"/>
            </w:pPr>
            <w:r>
              <w:rPr>
                <w:rFonts w:ascii="Calibri" w:cs="Calibri" w:eastAsia="Calibri" w:hAnsi="Calibri"/>
                <w:b/>
                <w:bCs/>
                <w:color w:val="FF3E00"/>
                <w:spacing w:val="50"/>
                <w:sz w:val="20"/>
                <w:szCs w:val="20"/>
              </w:rPr>
              <w:t xml:space="preserve">§ A.1  PURPOSE</w:t>
            </w:r>
          </w:p>
        </w:tc>
      </w:tr>
      <w:tr>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100"/>
            </w:pPr>
            <w:r>
              <w:rPr>
                <w:rFonts w:ascii="Calibri" w:cs="Calibri" w:eastAsia="Calibri" w:hAnsi="Calibri"/>
                <w:b w:val="false"/>
                <w:bCs w:val="false"/>
                <w:i w:val="false"/>
                <w:iCs w:val="false"/>
                <w:color w:val="1A1A1A"/>
                <w:sz w:val="20"/>
                <w:szCs w:val="20"/>
              </w:rPr>
              <w:t xml:space="preserve">Dette vedlegget utdyper akselerasjonsmekanismen i Aksjonæravtalens §2.3 («Dobbel trigger»). Formålet er å gi gründerne en rettferdig beskyttelse ved eierskifte, samtidig som det sikrer kontinuitet for kjøper og investorer.</w:t>
            </w:r>
          </w:p>
        </w:tc>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100"/>
            </w:pPr>
            <w:r>
              <w:rPr>
                <w:rFonts w:ascii="Calibri" w:cs="Calibri" w:eastAsia="Calibri" w:hAnsi="Calibri"/>
                <w:b w:val="false"/>
                <w:bCs w:val="false"/>
                <w:i w:val="false"/>
                <w:iCs w:val="false"/>
                <w:color w:val="1A1A1A"/>
                <w:sz w:val="20"/>
                <w:szCs w:val="20"/>
              </w:rPr>
              <w:t xml:space="preserve">This schedule elaborates on the acceleration mechanism in the Shareholders’ Agreement §2.3 (“Double Trigger”). The purpose is to provide founders with fair protection upon a change of control, while ensuring continuity for acquirers and investors.</w:t>
            </w:r>
          </w:p>
        </w:tc>
      </w:tr>
      <w:tr>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shd w:fill="F5F5F5" w:val="clear"/>
              <w:spacing w:before="60" w:after="60"/>
              <w:ind w:left="200" w:right="200"/>
            </w:pPr>
            <w:r>
              <w:rPr>
                <w:rFonts w:ascii="Calibri" w:cs="Calibri" w:eastAsia="Calibri" w:hAnsi="Calibri"/>
                <w:color w:val="FF3E00"/>
                <w:sz w:val="18"/>
                <w:szCs w:val="18"/>
              </w:rPr>
              <w:t xml:space="preserve">ℹ </w:t>
            </w:r>
            <w:r>
              <w:rPr>
                <w:rFonts w:ascii="Calibri" w:cs="Calibri" w:eastAsia="Calibri" w:hAnsi="Calibri"/>
                <w:i/>
                <w:iCs/>
                <w:color w:val="666666"/>
                <w:sz w:val="18"/>
                <w:szCs w:val="18"/>
              </w:rPr>
              <w:t xml:space="preserve">Dobbel trigger er europeisk VC-standard. Enkel trigger (automatisk akselerasjon ved salg) er uvanlig i Europa og kan redusere selskapets salgbarhet.</w:t>
            </w:r>
          </w:p>
        </w:tc>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shd w:fill="F5F5F5" w:val="clear"/>
              <w:spacing w:before="60" w:after="60"/>
              <w:ind w:left="200" w:right="200"/>
            </w:pPr>
            <w:r>
              <w:rPr>
                <w:rFonts w:ascii="Calibri" w:cs="Calibri" w:eastAsia="Calibri" w:hAnsi="Calibri"/>
                <w:color w:val="FF3E00"/>
                <w:sz w:val="18"/>
                <w:szCs w:val="18"/>
              </w:rPr>
              <w:t xml:space="preserve">ℹ </w:t>
            </w:r>
            <w:r>
              <w:rPr>
                <w:rFonts w:ascii="Calibri" w:cs="Calibri" w:eastAsia="Calibri" w:hAnsi="Calibri"/>
                <w:i/>
                <w:iCs/>
                <w:color w:val="666666"/>
                <w:sz w:val="18"/>
                <w:szCs w:val="18"/>
              </w:rPr>
              <w:t xml:space="preserve">Double trigger is European VC standard. Single trigger (automatic acceleration upon sale) is uncommon in Europe and may reduce company saleability.</w:t>
            </w:r>
          </w:p>
        </w:tc>
      </w:tr>
      <w:tr>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pBdr>
                <w:bottom w:val="single" w:color="FF3E00" w:sz="2"/>
              </w:pBdr>
              <w:spacing w:before="200" w:after="80"/>
            </w:pPr>
            <w:r>
              <w:rPr>
                <w:rFonts w:ascii="Calibri" w:cs="Calibri" w:eastAsia="Calibri" w:hAnsi="Calibri"/>
                <w:b/>
                <w:bCs/>
                <w:color w:val="FF3E00"/>
                <w:spacing w:val="50"/>
                <w:sz w:val="20"/>
                <w:szCs w:val="20"/>
              </w:rPr>
              <w:t xml:space="preserve">§ A.2  DEFINISJONER</w:t>
            </w:r>
          </w:p>
        </w:tc>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pBdr>
                <w:bottom w:val="single" w:color="FF3E00" w:sz="2"/>
              </w:pBdr>
              <w:spacing w:before="200" w:after="80"/>
            </w:pPr>
            <w:r>
              <w:rPr>
                <w:rFonts w:ascii="Calibri" w:cs="Calibri" w:eastAsia="Calibri" w:hAnsi="Calibri"/>
                <w:b/>
                <w:bCs/>
                <w:color w:val="FF3E00"/>
                <w:spacing w:val="50"/>
                <w:sz w:val="20"/>
                <w:szCs w:val="20"/>
              </w:rPr>
              <w:t xml:space="preserve">§ A.2  DEFINITIONS</w:t>
            </w:r>
          </w:p>
        </w:tc>
      </w:tr>
      <w:tr>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spacing w:before="160" w:after="60"/>
            </w:pPr>
            <w:r>
              <w:rPr>
                <w:rFonts w:ascii="Calibri" w:cs="Calibri" w:eastAsia="Calibri" w:hAnsi="Calibri"/>
                <w:b/>
                <w:bCs/>
                <w:color w:val="1A1A1A"/>
                <w:sz w:val="21"/>
                <w:szCs w:val="21"/>
              </w:rPr>
              <w:t xml:space="preserve">A.2.1  Kontrollskifte («Change of Control»)</w:t>
            </w:r>
          </w:p>
        </w:tc>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spacing w:before="160" w:after="60"/>
            </w:pPr>
            <w:r>
              <w:rPr>
                <w:rFonts w:ascii="Calibri" w:cs="Calibri" w:eastAsia="Calibri" w:hAnsi="Calibri"/>
                <w:b/>
                <w:bCs/>
                <w:color w:val="1A1A1A"/>
                <w:sz w:val="21"/>
                <w:szCs w:val="21"/>
              </w:rPr>
              <w:t xml:space="preserve">A.2.1  Change of Control</w:t>
            </w:r>
          </w:p>
        </w:tc>
      </w:tr>
      <w:tr>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100"/>
            </w:pPr>
            <w:r>
              <w:rPr>
                <w:rFonts w:ascii="Calibri" w:cs="Calibri" w:eastAsia="Calibri" w:hAnsi="Calibri"/>
                <w:b w:val="false"/>
                <w:bCs w:val="false"/>
                <w:i w:val="false"/>
                <w:iCs w:val="false"/>
                <w:color w:val="1A1A1A"/>
                <w:sz w:val="20"/>
                <w:szCs w:val="20"/>
              </w:rPr>
              <w:t xml:space="preserve">Kontrollskifte foreligger når ett av følgende inntreffer:</w:t>
            </w:r>
          </w:p>
        </w:tc>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100"/>
            </w:pPr>
            <w:r>
              <w:rPr>
                <w:rFonts w:ascii="Calibri" w:cs="Calibri" w:eastAsia="Calibri" w:hAnsi="Calibri"/>
                <w:b w:val="false"/>
                <w:bCs w:val="false"/>
                <w:i w:val="false"/>
                <w:iCs w:val="false"/>
                <w:color w:val="1A1A1A"/>
                <w:sz w:val="20"/>
                <w:szCs w:val="20"/>
              </w:rPr>
              <w:t xml:space="preserve">A Change of Control occurs upon any of the following:</w:t>
            </w:r>
          </w:p>
        </w:tc>
      </w:tr>
      <w:tr>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40"/>
              <w:ind w:left="300"/>
            </w:pPr>
            <w:r>
              <w:rPr>
                <w:rFonts w:ascii="Calibri" w:cs="Calibri" w:eastAsia="Calibri" w:hAnsi="Calibri"/>
                <w:b/>
                <w:bCs/>
                <w:color w:val="FF3E00"/>
                <w:sz w:val="19"/>
                <w:szCs w:val="19"/>
              </w:rPr>
              <w:t xml:space="preserve">(a) </w:t>
            </w:r>
            <w:r>
              <w:rPr>
                <w:rFonts w:ascii="Calibri" w:cs="Calibri" w:eastAsia="Calibri" w:hAnsi="Calibri"/>
                <w:color w:val="1A1A1A"/>
                <w:sz w:val="19"/>
                <w:szCs w:val="19"/>
              </w:rPr>
              <w:t xml:space="preserve">Overdragelse som gir en tredjepart direkte eller indirekte kontroll over &gt;50 % av stemmerettene i Selskapet (jf. aksjeloven §1-3).</w:t>
            </w:r>
          </w:p>
          <w:p>
            <w:pPr>
              <w:spacing w:after="40"/>
              <w:ind w:left="300"/>
            </w:pPr>
            <w:r>
              <w:rPr>
                <w:rFonts w:ascii="Calibri" w:cs="Calibri" w:eastAsia="Calibri" w:hAnsi="Calibri"/>
                <w:b/>
                <w:bCs/>
                <w:color w:val="FF3E00"/>
                <w:sz w:val="19"/>
                <w:szCs w:val="19"/>
              </w:rPr>
              <w:t xml:space="preserve">(b) </w:t>
            </w:r>
            <w:r>
              <w:rPr>
                <w:rFonts w:ascii="Calibri" w:cs="Calibri" w:eastAsia="Calibri" w:hAnsi="Calibri"/>
                <w:color w:val="1A1A1A"/>
                <w:sz w:val="19"/>
                <w:szCs w:val="19"/>
              </w:rPr>
              <w:t xml:space="preserve">Fusjon eller fisjon der Selskapets eksisterende aksjonærer eier &lt;50 % av det sammenslåtte/gjenværende selskapet.</w:t>
            </w:r>
          </w:p>
          <w:p>
            <w:pPr>
              <w:spacing w:after="40"/>
              <w:ind w:left="300"/>
            </w:pPr>
            <w:r>
              <w:rPr>
                <w:rFonts w:ascii="Calibri" w:cs="Calibri" w:eastAsia="Calibri" w:hAnsi="Calibri"/>
                <w:b/>
                <w:bCs/>
                <w:color w:val="FF3E00"/>
                <w:sz w:val="19"/>
                <w:szCs w:val="19"/>
              </w:rPr>
              <w:t xml:space="preserve">(c) </w:t>
            </w:r>
            <w:r>
              <w:rPr>
                <w:rFonts w:ascii="Calibri" w:cs="Calibri" w:eastAsia="Calibri" w:hAnsi="Calibri"/>
                <w:color w:val="1A1A1A"/>
                <w:sz w:val="19"/>
                <w:szCs w:val="19"/>
              </w:rPr>
              <w:t xml:space="preserve">Salg eller overdragelse av vesentlige eiendeler (&gt;75 % av bokført verdi) til tredjepart.</w:t>
            </w:r>
          </w:p>
          <w:p>
            <w:pPr>
              <w:spacing w:after="40"/>
              <w:ind w:left="300"/>
            </w:pPr>
            <w:r>
              <w:rPr>
                <w:rFonts w:ascii="Calibri" w:cs="Calibri" w:eastAsia="Calibri" w:hAnsi="Calibri"/>
                <w:b/>
                <w:bCs/>
                <w:color w:val="FF3E00"/>
                <w:sz w:val="19"/>
                <w:szCs w:val="19"/>
              </w:rPr>
              <w:t xml:space="preserve">(d) </w:t>
            </w:r>
            <w:r>
              <w:rPr>
                <w:rFonts w:ascii="Calibri" w:cs="Calibri" w:eastAsia="Calibri" w:hAnsi="Calibri"/>
                <w:color w:val="1A1A1A"/>
                <w:sz w:val="19"/>
                <w:szCs w:val="19"/>
              </w:rPr>
              <w:t xml:space="preserve">Godkjent salg iht. drag-along (§7) eller medsalgsrett (§6).</w:t>
            </w:r>
          </w:p>
        </w:tc>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40"/>
              <w:ind w:left="300"/>
            </w:pPr>
            <w:r>
              <w:rPr>
                <w:rFonts w:ascii="Calibri" w:cs="Calibri" w:eastAsia="Calibri" w:hAnsi="Calibri"/>
                <w:b/>
                <w:bCs/>
                <w:color w:val="FF3E00"/>
                <w:sz w:val="19"/>
                <w:szCs w:val="19"/>
              </w:rPr>
              <w:t xml:space="preserve">(a) </w:t>
            </w:r>
            <w:r>
              <w:rPr>
                <w:rFonts w:ascii="Calibri" w:cs="Calibri" w:eastAsia="Calibri" w:hAnsi="Calibri"/>
                <w:color w:val="1A1A1A"/>
                <w:sz w:val="19"/>
                <w:szCs w:val="19"/>
              </w:rPr>
              <w:t xml:space="preserve">Transfer giving a third party direct or indirect control of &gt;50% of the voting rights in the Company (cf. Norwegian Companies Act §1-3).</w:t>
            </w:r>
          </w:p>
          <w:p>
            <w:pPr>
              <w:spacing w:after="40"/>
              <w:ind w:left="300"/>
            </w:pPr>
            <w:r>
              <w:rPr>
                <w:rFonts w:ascii="Calibri" w:cs="Calibri" w:eastAsia="Calibri" w:hAnsi="Calibri"/>
                <w:b/>
                <w:bCs/>
                <w:color w:val="FF3E00"/>
                <w:sz w:val="19"/>
                <w:szCs w:val="19"/>
              </w:rPr>
              <w:t xml:space="preserve">(b) </w:t>
            </w:r>
            <w:r>
              <w:rPr>
                <w:rFonts w:ascii="Calibri" w:cs="Calibri" w:eastAsia="Calibri" w:hAnsi="Calibri"/>
                <w:color w:val="1A1A1A"/>
                <w:sz w:val="19"/>
                <w:szCs w:val="19"/>
              </w:rPr>
              <w:t xml:space="preserve">Merger or demerger where the Company’s existing shareholders own &lt;50% of the combined/surviving entity.</w:t>
            </w:r>
          </w:p>
          <w:p>
            <w:pPr>
              <w:spacing w:after="40"/>
              <w:ind w:left="300"/>
            </w:pPr>
            <w:r>
              <w:rPr>
                <w:rFonts w:ascii="Calibri" w:cs="Calibri" w:eastAsia="Calibri" w:hAnsi="Calibri"/>
                <w:b/>
                <w:bCs/>
                <w:color w:val="FF3E00"/>
                <w:sz w:val="19"/>
                <w:szCs w:val="19"/>
              </w:rPr>
              <w:t xml:space="preserve">(c) </w:t>
            </w:r>
            <w:r>
              <w:rPr>
                <w:rFonts w:ascii="Calibri" w:cs="Calibri" w:eastAsia="Calibri" w:hAnsi="Calibri"/>
                <w:color w:val="1A1A1A"/>
                <w:sz w:val="19"/>
                <w:szCs w:val="19"/>
              </w:rPr>
              <w:t xml:space="preserve">Sale or transfer of substantially all assets (&gt;75% of book value) to a third party.</w:t>
            </w:r>
          </w:p>
          <w:p>
            <w:pPr>
              <w:spacing w:after="40"/>
              <w:ind w:left="300"/>
            </w:pPr>
            <w:r>
              <w:rPr>
                <w:rFonts w:ascii="Calibri" w:cs="Calibri" w:eastAsia="Calibri" w:hAnsi="Calibri"/>
                <w:b/>
                <w:bCs/>
                <w:color w:val="FF3E00"/>
                <w:sz w:val="19"/>
                <w:szCs w:val="19"/>
              </w:rPr>
              <w:t xml:space="preserve">(d) </w:t>
            </w:r>
            <w:r>
              <w:rPr>
                <w:rFonts w:ascii="Calibri" w:cs="Calibri" w:eastAsia="Calibri" w:hAnsi="Calibri"/>
                <w:color w:val="1A1A1A"/>
                <w:sz w:val="19"/>
                <w:szCs w:val="19"/>
              </w:rPr>
              <w:t xml:space="preserve">Approved sale pursuant to drag-along (§7) or tag-along (§6).</w:t>
            </w:r>
          </w:p>
        </w:tc>
      </w:tr>
      <w:tr>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spacing w:before="160" w:after="60"/>
            </w:pPr>
            <w:r>
              <w:rPr>
                <w:rFonts w:ascii="Calibri" w:cs="Calibri" w:eastAsia="Calibri" w:hAnsi="Calibri"/>
                <w:b/>
                <w:bCs/>
                <w:color w:val="1A1A1A"/>
                <w:sz w:val="21"/>
                <w:szCs w:val="21"/>
              </w:rPr>
              <w:t xml:space="preserve">A.2.2  Kvalifisert oppsigelse («Qualifying Termination»)</w:t>
            </w:r>
          </w:p>
        </w:tc>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spacing w:before="160" w:after="60"/>
            </w:pPr>
            <w:r>
              <w:rPr>
                <w:rFonts w:ascii="Calibri" w:cs="Calibri" w:eastAsia="Calibri" w:hAnsi="Calibri"/>
                <w:b/>
                <w:bCs/>
                <w:color w:val="1A1A1A"/>
                <w:sz w:val="21"/>
                <w:szCs w:val="21"/>
              </w:rPr>
              <w:t xml:space="preserve">A.2.2  Qualifying Termination</w:t>
            </w:r>
          </w:p>
        </w:tc>
      </w:tr>
      <w:tr>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100"/>
            </w:pPr>
            <w:r>
              <w:rPr>
                <w:rFonts w:ascii="Calibri" w:cs="Calibri" w:eastAsia="Calibri" w:hAnsi="Calibri"/>
                <w:b w:val="false"/>
                <w:bCs w:val="false"/>
                <w:i w:val="false"/>
                <w:iCs w:val="false"/>
                <w:color w:val="1A1A1A"/>
                <w:sz w:val="20"/>
                <w:szCs w:val="20"/>
              </w:rPr>
              <w:t xml:space="preserve">Kvalifisert oppsigelse foreligger når en Part ufrivillig mister sin operative rolle innen 12 måneder etter et Kontrollskifte, herunder:</w:t>
            </w:r>
          </w:p>
        </w:tc>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100"/>
            </w:pPr>
            <w:r>
              <w:rPr>
                <w:rFonts w:ascii="Calibri" w:cs="Calibri" w:eastAsia="Calibri" w:hAnsi="Calibri"/>
                <w:b w:val="false"/>
                <w:bCs w:val="false"/>
                <w:i w:val="false"/>
                <w:iCs w:val="false"/>
                <w:color w:val="1A1A1A"/>
                <w:sz w:val="20"/>
                <w:szCs w:val="20"/>
              </w:rPr>
              <w:t xml:space="preserve">A Qualifying Termination occurs when a Party involuntarily loses their operative role within 12 months following a Change of Control, including:</w:t>
            </w:r>
          </w:p>
        </w:tc>
      </w:tr>
      <w:tr>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40"/>
              <w:ind w:left="300"/>
            </w:pPr>
            <w:r>
              <w:rPr>
                <w:rFonts w:ascii="Calibri" w:cs="Calibri" w:eastAsia="Calibri" w:hAnsi="Calibri"/>
                <w:b/>
                <w:bCs/>
                <w:color w:val="FF3E00"/>
                <w:sz w:val="19"/>
                <w:szCs w:val="19"/>
              </w:rPr>
              <w:t xml:space="preserve">(a) </w:t>
            </w:r>
            <w:r>
              <w:rPr>
                <w:rFonts w:ascii="Calibri" w:cs="Calibri" w:eastAsia="Calibri" w:hAnsi="Calibri"/>
                <w:color w:val="1A1A1A"/>
                <w:sz w:val="19"/>
                <w:szCs w:val="19"/>
              </w:rPr>
              <w:t xml:space="preserve">Oppsigelse initiert av Selskapet (eller ny eier) uten saklig grunn iht. arbeidsmiljøloven §15-7.</w:t>
            </w:r>
          </w:p>
          <w:p>
            <w:pPr>
              <w:spacing w:after="40"/>
              <w:ind w:left="300"/>
            </w:pPr>
            <w:r>
              <w:rPr>
                <w:rFonts w:ascii="Calibri" w:cs="Calibri" w:eastAsia="Calibri" w:hAnsi="Calibri"/>
                <w:b/>
                <w:bCs/>
                <w:color w:val="FF3E00"/>
                <w:sz w:val="19"/>
                <w:szCs w:val="19"/>
              </w:rPr>
              <w:t xml:space="preserve">(b) </w:t>
            </w:r>
            <w:r>
              <w:rPr>
                <w:rFonts w:ascii="Calibri" w:cs="Calibri" w:eastAsia="Calibri" w:hAnsi="Calibri"/>
                <w:color w:val="1A1A1A"/>
                <w:sz w:val="19"/>
                <w:szCs w:val="19"/>
              </w:rPr>
              <w:t xml:space="preserve">Vesentlig reduksjon i rolle, ansvar eller myndighet sammenlignet med stillingen umiddelbart før Kontrollskiftet.</w:t>
            </w:r>
          </w:p>
          <w:p>
            <w:pPr>
              <w:spacing w:after="40"/>
              <w:ind w:left="300"/>
            </w:pPr>
            <w:r>
              <w:rPr>
                <w:rFonts w:ascii="Calibri" w:cs="Calibri" w:eastAsia="Calibri" w:hAnsi="Calibri"/>
                <w:b/>
                <w:bCs/>
                <w:color w:val="FF3E00"/>
                <w:sz w:val="19"/>
                <w:szCs w:val="19"/>
              </w:rPr>
              <w:t xml:space="preserve">(c) </w:t>
            </w:r>
            <w:r>
              <w:rPr>
                <w:rFonts w:ascii="Calibri" w:cs="Calibri" w:eastAsia="Calibri" w:hAnsi="Calibri"/>
                <w:color w:val="1A1A1A"/>
                <w:sz w:val="19"/>
                <w:szCs w:val="19"/>
              </w:rPr>
              <w:t xml:space="preserve">Reduksjon i årlig godtgjørelse (lønn + bonus) med mer enn 15 % uten samtykke.</w:t>
            </w:r>
          </w:p>
          <w:p>
            <w:pPr>
              <w:spacing w:after="40"/>
              <w:ind w:left="300"/>
            </w:pPr>
            <w:r>
              <w:rPr>
                <w:rFonts w:ascii="Calibri" w:cs="Calibri" w:eastAsia="Calibri" w:hAnsi="Calibri"/>
                <w:b/>
                <w:bCs/>
                <w:color w:val="FF3E00"/>
                <w:sz w:val="19"/>
                <w:szCs w:val="19"/>
              </w:rPr>
              <w:t xml:space="preserve">(d) </w:t>
            </w:r>
            <w:r>
              <w:rPr>
                <w:rFonts w:ascii="Calibri" w:cs="Calibri" w:eastAsia="Calibri" w:hAnsi="Calibri"/>
                <w:color w:val="1A1A1A"/>
                <w:sz w:val="19"/>
                <w:szCs w:val="19"/>
              </w:rPr>
              <w:t xml:space="preserve">Pålagt relokasjon av primær arbeidsplass med mer enn 50 km uten samtykke.</w:t>
            </w:r>
          </w:p>
          <w:p>
            <w:pPr>
              <w:spacing w:after="40"/>
              <w:ind w:left="300"/>
            </w:pPr>
            <w:r>
              <w:rPr>
                <w:rFonts w:ascii="Calibri" w:cs="Calibri" w:eastAsia="Calibri" w:hAnsi="Calibri"/>
                <w:b/>
                <w:bCs/>
                <w:color w:val="FF3E00"/>
                <w:sz w:val="19"/>
                <w:szCs w:val="19"/>
              </w:rPr>
              <w:t xml:space="preserve">(e) </w:t>
            </w:r>
            <w:r>
              <w:rPr>
                <w:rFonts w:ascii="Calibri" w:cs="Calibri" w:eastAsia="Calibri" w:hAnsi="Calibri"/>
                <w:color w:val="1A1A1A"/>
                <w:sz w:val="19"/>
                <w:szCs w:val="19"/>
              </w:rPr>
              <w:t xml:space="preserve">Vesentlig endring av rapporteringslinje som innebærer degradering.</w:t>
            </w:r>
          </w:p>
        </w:tc>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40"/>
              <w:ind w:left="300"/>
            </w:pPr>
            <w:r>
              <w:rPr>
                <w:rFonts w:ascii="Calibri" w:cs="Calibri" w:eastAsia="Calibri" w:hAnsi="Calibri"/>
                <w:b/>
                <w:bCs/>
                <w:color w:val="FF3E00"/>
                <w:sz w:val="19"/>
                <w:szCs w:val="19"/>
              </w:rPr>
              <w:t xml:space="preserve">(a) </w:t>
            </w:r>
            <w:r>
              <w:rPr>
                <w:rFonts w:ascii="Calibri" w:cs="Calibri" w:eastAsia="Calibri" w:hAnsi="Calibri"/>
                <w:color w:val="1A1A1A"/>
                <w:sz w:val="19"/>
                <w:szCs w:val="19"/>
              </w:rPr>
              <w:t xml:space="preserve">Termination initiated by the Company (or new owner) without just cause under the Working Environment Act §15-7.</w:t>
            </w:r>
          </w:p>
          <w:p>
            <w:pPr>
              <w:spacing w:after="40"/>
              <w:ind w:left="300"/>
            </w:pPr>
            <w:r>
              <w:rPr>
                <w:rFonts w:ascii="Calibri" w:cs="Calibri" w:eastAsia="Calibri" w:hAnsi="Calibri"/>
                <w:b/>
                <w:bCs/>
                <w:color w:val="FF3E00"/>
                <w:sz w:val="19"/>
                <w:szCs w:val="19"/>
              </w:rPr>
              <w:t xml:space="preserve">(b) </w:t>
            </w:r>
            <w:r>
              <w:rPr>
                <w:rFonts w:ascii="Calibri" w:cs="Calibri" w:eastAsia="Calibri" w:hAnsi="Calibri"/>
                <w:color w:val="1A1A1A"/>
                <w:sz w:val="19"/>
                <w:szCs w:val="19"/>
              </w:rPr>
              <w:t xml:space="preserve">Material reduction in role, responsibility, or authority compared to the position immediately prior to the Change of Control.</w:t>
            </w:r>
          </w:p>
          <w:p>
            <w:pPr>
              <w:spacing w:after="40"/>
              <w:ind w:left="300"/>
            </w:pPr>
            <w:r>
              <w:rPr>
                <w:rFonts w:ascii="Calibri" w:cs="Calibri" w:eastAsia="Calibri" w:hAnsi="Calibri"/>
                <w:b/>
                <w:bCs/>
                <w:color w:val="FF3E00"/>
                <w:sz w:val="19"/>
                <w:szCs w:val="19"/>
              </w:rPr>
              <w:t xml:space="preserve">(c) </w:t>
            </w:r>
            <w:r>
              <w:rPr>
                <w:rFonts w:ascii="Calibri" w:cs="Calibri" w:eastAsia="Calibri" w:hAnsi="Calibri"/>
                <w:color w:val="1A1A1A"/>
                <w:sz w:val="19"/>
                <w:szCs w:val="19"/>
              </w:rPr>
              <w:t xml:space="preserve">Reduction in annual compensation (salary + bonus) exceeding 15% without consent.</w:t>
            </w:r>
          </w:p>
          <w:p>
            <w:pPr>
              <w:spacing w:after="40"/>
              <w:ind w:left="300"/>
            </w:pPr>
            <w:r>
              <w:rPr>
                <w:rFonts w:ascii="Calibri" w:cs="Calibri" w:eastAsia="Calibri" w:hAnsi="Calibri"/>
                <w:b/>
                <w:bCs/>
                <w:color w:val="FF3E00"/>
                <w:sz w:val="19"/>
                <w:szCs w:val="19"/>
              </w:rPr>
              <w:t xml:space="preserve">(d) </w:t>
            </w:r>
            <w:r>
              <w:rPr>
                <w:rFonts w:ascii="Calibri" w:cs="Calibri" w:eastAsia="Calibri" w:hAnsi="Calibri"/>
                <w:color w:val="1A1A1A"/>
                <w:sz w:val="19"/>
                <w:szCs w:val="19"/>
              </w:rPr>
              <w:t xml:space="preserve">Required relocation of primary workplace by more than 50 km without consent.</w:t>
            </w:r>
          </w:p>
          <w:p>
            <w:pPr>
              <w:spacing w:after="40"/>
              <w:ind w:left="300"/>
            </w:pPr>
            <w:r>
              <w:rPr>
                <w:rFonts w:ascii="Calibri" w:cs="Calibri" w:eastAsia="Calibri" w:hAnsi="Calibri"/>
                <w:b/>
                <w:bCs/>
                <w:color w:val="FF3E00"/>
                <w:sz w:val="19"/>
                <w:szCs w:val="19"/>
              </w:rPr>
              <w:t xml:space="preserve">(e) </w:t>
            </w:r>
            <w:r>
              <w:rPr>
                <w:rFonts w:ascii="Calibri" w:cs="Calibri" w:eastAsia="Calibri" w:hAnsi="Calibri"/>
                <w:color w:val="1A1A1A"/>
                <w:sz w:val="19"/>
                <w:szCs w:val="19"/>
              </w:rPr>
              <w:t xml:space="preserve">Material change in reporting line constituting a demotion.</w:t>
            </w:r>
          </w:p>
        </w:tc>
      </w:tr>
      <w:tr>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shd w:fill="F5F5F5" w:val="clear"/>
              <w:spacing w:before="60" w:after="60"/>
              <w:ind w:left="200" w:right="200"/>
            </w:pPr>
            <w:r>
              <w:rPr>
                <w:rFonts w:ascii="Calibri" w:cs="Calibri" w:eastAsia="Calibri" w:hAnsi="Calibri"/>
                <w:color w:val="FF3E00"/>
                <w:sz w:val="18"/>
                <w:szCs w:val="18"/>
              </w:rPr>
              <w:t xml:space="preserve">ℹ </w:t>
            </w:r>
            <w:r>
              <w:rPr>
                <w:rFonts w:ascii="Calibri" w:cs="Calibri" w:eastAsia="Calibri" w:hAnsi="Calibri"/>
                <w:i/>
                <w:iCs/>
                <w:color w:val="666666"/>
                <w:sz w:val="18"/>
                <w:szCs w:val="18"/>
              </w:rPr>
              <w:t xml:space="preserve">Frivillig avgang eller oppsigelse som følge av Bad Leaver-hendelser (§8.2) utløser IKKE akselerasjon. Se §A.5 for unntak.</w:t>
            </w:r>
          </w:p>
        </w:tc>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shd w:fill="F5F5F5" w:val="clear"/>
              <w:spacing w:before="60" w:after="60"/>
              <w:ind w:left="200" w:right="200"/>
            </w:pPr>
            <w:r>
              <w:rPr>
                <w:rFonts w:ascii="Calibri" w:cs="Calibri" w:eastAsia="Calibri" w:hAnsi="Calibri"/>
                <w:color w:val="FF3E00"/>
                <w:sz w:val="18"/>
                <w:szCs w:val="18"/>
              </w:rPr>
              <w:t xml:space="preserve">ℹ </w:t>
            </w:r>
            <w:r>
              <w:rPr>
                <w:rFonts w:ascii="Calibri" w:cs="Calibri" w:eastAsia="Calibri" w:hAnsi="Calibri"/>
                <w:i/>
                <w:iCs/>
                <w:color w:val="666666"/>
                <w:sz w:val="18"/>
                <w:szCs w:val="18"/>
              </w:rPr>
              <w:t xml:space="preserve">Voluntary departure or termination resulting from Bad Leaver events (§8.2) does NOT trigger acceleration. See §A.5 for exceptions.</w:t>
            </w:r>
          </w:p>
        </w:tc>
      </w:tr>
      <w:tr>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spacing w:before="160" w:after="60"/>
            </w:pPr>
            <w:r>
              <w:rPr>
                <w:rFonts w:ascii="Calibri" w:cs="Calibri" w:eastAsia="Calibri" w:hAnsi="Calibri"/>
                <w:b/>
                <w:bCs/>
                <w:color w:val="1A1A1A"/>
                <w:sz w:val="21"/>
                <w:szCs w:val="21"/>
              </w:rPr>
              <w:t xml:space="preserve">A.2.3  Beskyttelsesperiode</w:t>
            </w:r>
          </w:p>
        </w:tc>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spacing w:before="160" w:after="60"/>
            </w:pPr>
            <w:r>
              <w:rPr>
                <w:rFonts w:ascii="Calibri" w:cs="Calibri" w:eastAsia="Calibri" w:hAnsi="Calibri"/>
                <w:b/>
                <w:bCs/>
                <w:color w:val="1A1A1A"/>
                <w:sz w:val="21"/>
                <w:szCs w:val="21"/>
              </w:rPr>
              <w:t xml:space="preserve">A.2.3  Protection Period</w:t>
            </w:r>
          </w:p>
        </w:tc>
      </w:tr>
      <w:tr>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100"/>
            </w:pPr>
            <w:r>
              <w:rPr>
                <w:rFonts w:ascii="Calibri" w:cs="Calibri" w:eastAsia="Calibri" w:hAnsi="Calibri"/>
                <w:b w:val="false"/>
                <w:bCs w:val="false"/>
                <w:i w:val="false"/>
                <w:iCs w:val="false"/>
                <w:color w:val="1A1A1A"/>
                <w:sz w:val="20"/>
                <w:szCs w:val="20"/>
              </w:rPr>
              <w:t xml:space="preserve">Beskyttelsesperioden er 12 måneder regnet fra datoen Kontrollskiftet gjennomføres (closing). Kvalifisert oppsigelse som inntreffer etter utløpet av Beskyttelsesperioden utløser ikke akselerasjon.</w:t>
            </w:r>
          </w:p>
        </w:tc>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100"/>
            </w:pPr>
            <w:r>
              <w:rPr>
                <w:rFonts w:ascii="Calibri" w:cs="Calibri" w:eastAsia="Calibri" w:hAnsi="Calibri"/>
                <w:b w:val="false"/>
                <w:bCs w:val="false"/>
                <w:i w:val="false"/>
                <w:iCs w:val="false"/>
                <w:color w:val="1A1A1A"/>
                <w:sz w:val="20"/>
                <w:szCs w:val="20"/>
              </w:rPr>
              <w:t xml:space="preserve">The Protection Period is 12 months calculated from the date the Change of Control is completed (closing). A Qualifying Termination occurring after expiry of the Protection Period does not trigger acceleration.</w:t>
            </w:r>
          </w:p>
        </w:tc>
      </w:tr>
      <w:tr>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pBdr>
                <w:bottom w:val="single" w:color="FF3E00" w:sz="2"/>
              </w:pBdr>
              <w:spacing w:before="200" w:after="80"/>
            </w:pPr>
            <w:r>
              <w:rPr>
                <w:rFonts w:ascii="Calibri" w:cs="Calibri" w:eastAsia="Calibri" w:hAnsi="Calibri"/>
                <w:b/>
                <w:bCs/>
                <w:color w:val="FF3E00"/>
                <w:spacing w:val="50"/>
                <w:sz w:val="20"/>
                <w:szCs w:val="20"/>
              </w:rPr>
              <w:t xml:space="preserve">§ A.3  AKSELERASJONSMEKANIKK</w:t>
            </w:r>
          </w:p>
        </w:tc>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pBdr>
                <w:bottom w:val="single" w:color="FF3E00" w:sz="2"/>
              </w:pBdr>
              <w:spacing w:before="200" w:after="80"/>
            </w:pPr>
            <w:r>
              <w:rPr>
                <w:rFonts w:ascii="Calibri" w:cs="Calibri" w:eastAsia="Calibri" w:hAnsi="Calibri"/>
                <w:b/>
                <w:bCs/>
                <w:color w:val="FF3E00"/>
                <w:spacing w:val="50"/>
                <w:sz w:val="20"/>
                <w:szCs w:val="20"/>
              </w:rPr>
              <w:t xml:space="preserve">§ A.3  ACCELERATION MECHANICS</w:t>
            </w:r>
          </w:p>
        </w:tc>
      </w:tr>
      <w:tr>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spacing w:before="160" w:after="60"/>
            </w:pPr>
            <w:r>
              <w:rPr>
                <w:rFonts w:ascii="Calibri" w:cs="Calibri" w:eastAsia="Calibri" w:hAnsi="Calibri"/>
                <w:b/>
                <w:bCs/>
                <w:color w:val="1A1A1A"/>
                <w:sz w:val="21"/>
                <w:szCs w:val="21"/>
              </w:rPr>
              <w:t xml:space="preserve">A.3.1  Dobbel trigger-krav</w:t>
            </w:r>
          </w:p>
        </w:tc>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spacing w:before="160" w:after="60"/>
            </w:pPr>
            <w:r>
              <w:rPr>
                <w:rFonts w:ascii="Calibri" w:cs="Calibri" w:eastAsia="Calibri" w:hAnsi="Calibri"/>
                <w:b/>
                <w:bCs/>
                <w:color w:val="1A1A1A"/>
                <w:sz w:val="21"/>
                <w:szCs w:val="21"/>
              </w:rPr>
              <w:t xml:space="preserve">A.3.1  Double Trigger Requirement</w:t>
            </w:r>
          </w:p>
        </w:tc>
      </w:tr>
      <w:tr>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100"/>
            </w:pPr>
            <w:r>
              <w:rPr>
                <w:rFonts w:ascii="Calibri" w:cs="Calibri" w:eastAsia="Calibri" w:hAnsi="Calibri"/>
                <w:b w:val="false"/>
                <w:bCs w:val="false"/>
                <w:i w:val="false"/>
                <w:iCs w:val="false"/>
                <w:color w:val="1A1A1A"/>
                <w:sz w:val="20"/>
                <w:szCs w:val="20"/>
              </w:rPr>
              <w:t xml:space="preserve">Akselerasjon krever at BEGGE vilkår er oppfylt:</w:t>
            </w:r>
          </w:p>
        </w:tc>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100"/>
            </w:pPr>
            <w:r>
              <w:rPr>
                <w:rFonts w:ascii="Calibri" w:cs="Calibri" w:eastAsia="Calibri" w:hAnsi="Calibri"/>
                <w:b w:val="false"/>
                <w:bCs w:val="false"/>
                <w:i w:val="false"/>
                <w:iCs w:val="false"/>
                <w:color w:val="1A1A1A"/>
                <w:sz w:val="20"/>
                <w:szCs w:val="20"/>
              </w:rPr>
              <w:t xml:space="preserve">Acceleration requires that BOTH conditions are met:</w:t>
            </w:r>
          </w:p>
        </w:tc>
      </w:tr>
      <w:tr>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40"/>
              <w:ind w:left="300"/>
            </w:pPr>
            <w:r>
              <w:rPr>
                <w:rFonts w:ascii="Calibri" w:cs="Calibri" w:eastAsia="Calibri" w:hAnsi="Calibri"/>
                <w:color w:val="FF3E00"/>
                <w:sz w:val="19"/>
                <w:szCs w:val="19"/>
              </w:rPr>
              <w:t xml:space="preserve">▸ </w:t>
            </w:r>
            <w:r>
              <w:rPr>
                <w:rFonts w:ascii="Calibri" w:cs="Calibri" w:eastAsia="Calibri" w:hAnsi="Calibri"/>
                <w:color w:val="1A1A1A"/>
                <w:sz w:val="19"/>
                <w:szCs w:val="19"/>
              </w:rPr>
              <w:t xml:space="preserve">Trigger 1: Et Kontrollskifte har funnet sted (§A.2.1).</w:t>
            </w:r>
          </w:p>
          <w:p>
            <w:pPr>
              <w:spacing w:after="40"/>
              <w:ind w:left="300"/>
            </w:pPr>
            <w:r>
              <w:rPr>
                <w:rFonts w:ascii="Calibri" w:cs="Calibri" w:eastAsia="Calibri" w:hAnsi="Calibri"/>
                <w:color w:val="FF3E00"/>
                <w:sz w:val="19"/>
                <w:szCs w:val="19"/>
              </w:rPr>
              <w:t xml:space="preserve">▸ </w:t>
            </w:r>
            <w:r>
              <w:rPr>
                <w:rFonts w:ascii="Calibri" w:cs="Calibri" w:eastAsia="Calibri" w:hAnsi="Calibri"/>
                <w:color w:val="1A1A1A"/>
                <w:sz w:val="19"/>
                <w:szCs w:val="19"/>
              </w:rPr>
              <w:t xml:space="preserve">Trigger 2: En Kvalifisert oppsigelse inntreffer innen Beskyttelsesperioden (§A.2.2–A.2.3).</w:t>
            </w:r>
          </w:p>
        </w:tc>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40"/>
              <w:ind w:left="300"/>
            </w:pPr>
            <w:r>
              <w:rPr>
                <w:rFonts w:ascii="Calibri" w:cs="Calibri" w:eastAsia="Calibri" w:hAnsi="Calibri"/>
                <w:color w:val="FF3E00"/>
                <w:sz w:val="19"/>
                <w:szCs w:val="19"/>
              </w:rPr>
              <w:t xml:space="preserve">▸ </w:t>
            </w:r>
            <w:r>
              <w:rPr>
                <w:rFonts w:ascii="Calibri" w:cs="Calibri" w:eastAsia="Calibri" w:hAnsi="Calibri"/>
                <w:color w:val="1A1A1A"/>
                <w:sz w:val="19"/>
                <w:szCs w:val="19"/>
              </w:rPr>
              <w:t xml:space="preserve">Trigger 1: A Change of Control has occurred (§A.2.1).</w:t>
            </w:r>
          </w:p>
          <w:p>
            <w:pPr>
              <w:spacing w:after="40"/>
              <w:ind w:left="300"/>
            </w:pPr>
            <w:r>
              <w:rPr>
                <w:rFonts w:ascii="Calibri" w:cs="Calibri" w:eastAsia="Calibri" w:hAnsi="Calibri"/>
                <w:color w:val="FF3E00"/>
                <w:sz w:val="19"/>
                <w:szCs w:val="19"/>
              </w:rPr>
              <w:t xml:space="preserve">▸ </w:t>
            </w:r>
            <w:r>
              <w:rPr>
                <w:rFonts w:ascii="Calibri" w:cs="Calibri" w:eastAsia="Calibri" w:hAnsi="Calibri"/>
                <w:color w:val="1A1A1A"/>
                <w:sz w:val="19"/>
                <w:szCs w:val="19"/>
              </w:rPr>
              <w:t xml:space="preserve">Trigger 2: A Qualifying Termination occurs within the Protection Period (§A.2.2–A.2.3).</w:t>
            </w:r>
          </w:p>
        </w:tc>
      </w:tr>
      <w:tr>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spacing w:before="160" w:after="60"/>
            </w:pPr>
            <w:r>
              <w:rPr>
                <w:rFonts w:ascii="Calibri" w:cs="Calibri" w:eastAsia="Calibri" w:hAnsi="Calibri"/>
                <w:b/>
                <w:bCs/>
                <w:color w:val="1A1A1A"/>
                <w:sz w:val="21"/>
                <w:szCs w:val="21"/>
              </w:rPr>
              <w:t xml:space="preserve">A.3.2  Virkning ved dobbel trigger</w:t>
            </w:r>
          </w:p>
        </w:tc>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spacing w:before="160" w:after="60"/>
            </w:pPr>
            <w:r>
              <w:rPr>
                <w:rFonts w:ascii="Calibri" w:cs="Calibri" w:eastAsia="Calibri" w:hAnsi="Calibri"/>
                <w:b/>
                <w:bCs/>
                <w:color w:val="1A1A1A"/>
                <w:sz w:val="21"/>
                <w:szCs w:val="21"/>
              </w:rPr>
              <w:t xml:space="preserve">A.3.2  Effect of Double Trigger</w:t>
            </w:r>
          </w:p>
        </w:tc>
      </w:tr>
      <w:tr>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100"/>
            </w:pPr>
            <w:r>
              <w:rPr>
                <w:rFonts w:ascii="Calibri" w:cs="Calibri" w:eastAsia="Calibri" w:hAnsi="Calibri"/>
                <w:b w:val="false"/>
                <w:bCs w:val="false"/>
                <w:i w:val="false"/>
                <w:iCs w:val="false"/>
                <w:color w:val="1A1A1A"/>
                <w:sz w:val="20"/>
                <w:szCs w:val="20"/>
              </w:rPr>
              <w:t xml:space="preserve">Ved oppfyllelse av begge triggere akselererer 100 % av den berørte Partens gjenværende uvested aksjer med umiddelbar virkning. Aksjene anses fullt opptjent (vested) fra datoen for Kvalifisert oppsigelse.</w:t>
            </w:r>
          </w:p>
        </w:tc>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100"/>
            </w:pPr>
            <w:r>
              <w:rPr>
                <w:rFonts w:ascii="Calibri" w:cs="Calibri" w:eastAsia="Calibri" w:hAnsi="Calibri"/>
                <w:b w:val="false"/>
                <w:bCs w:val="false"/>
                <w:i w:val="false"/>
                <w:iCs w:val="false"/>
                <w:color w:val="1A1A1A"/>
                <w:sz w:val="20"/>
                <w:szCs w:val="20"/>
              </w:rPr>
              <w:t xml:space="preserve">Upon satisfaction of both triggers, 100% of the affected Party’s remaining unvested shares accelerate with immediate effect. The shares are deemed fully vested from the date of the Qualifying Termination.</w:t>
            </w:r>
          </w:p>
        </w:tc>
      </w:tr>
      <w:tr>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spacing w:before="160" w:after="60"/>
            </w:pPr>
            <w:r>
              <w:rPr>
                <w:rFonts w:ascii="Calibri" w:cs="Calibri" w:eastAsia="Calibri" w:hAnsi="Calibri"/>
                <w:b/>
                <w:bCs/>
                <w:color w:val="1A1A1A"/>
                <w:sz w:val="21"/>
                <w:szCs w:val="21"/>
              </w:rPr>
              <w:t xml:space="preserve">A.3.3  Virkning ved kun Trigger 1 (Kontrollskifte uten oppsigelse)</w:t>
            </w:r>
          </w:p>
        </w:tc>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spacing w:before="160" w:after="60"/>
            </w:pPr>
            <w:r>
              <w:rPr>
                <w:rFonts w:ascii="Calibri" w:cs="Calibri" w:eastAsia="Calibri" w:hAnsi="Calibri"/>
                <w:b/>
                <w:bCs/>
                <w:color w:val="1A1A1A"/>
                <w:sz w:val="21"/>
                <w:szCs w:val="21"/>
              </w:rPr>
              <w:t xml:space="preserve">A.3.3  Effect of Trigger 1 Only (Change of Control without termination)</w:t>
            </w:r>
          </w:p>
        </w:tc>
      </w:tr>
      <w:tr>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100"/>
            </w:pPr>
            <w:r>
              <w:rPr>
                <w:rFonts w:ascii="Calibri" w:cs="Calibri" w:eastAsia="Calibri" w:hAnsi="Calibri"/>
                <w:b w:val="false"/>
                <w:bCs w:val="false"/>
                <w:i w:val="false"/>
                <w:iCs w:val="false"/>
                <w:color w:val="1A1A1A"/>
                <w:sz w:val="20"/>
                <w:szCs w:val="20"/>
              </w:rPr>
              <w:t xml:space="preserve">Dersom et Kontrollskifte gjennomføres, men Parten beholder sin operative rolle, fortsetter vesting i henhold til normal plan (§2.1–2.2). Ny eier trer inn i Selskapets forpliktelser under denne Avtalen.</w:t>
            </w:r>
          </w:p>
        </w:tc>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100"/>
            </w:pPr>
            <w:r>
              <w:rPr>
                <w:rFonts w:ascii="Calibri" w:cs="Calibri" w:eastAsia="Calibri" w:hAnsi="Calibri"/>
                <w:b w:val="false"/>
                <w:bCs w:val="false"/>
                <w:i w:val="false"/>
                <w:iCs w:val="false"/>
                <w:color w:val="1A1A1A"/>
                <w:sz w:val="20"/>
                <w:szCs w:val="20"/>
              </w:rPr>
              <w:t xml:space="preserve">If a Change of Control is completed but the Party retains their operative role, vesting continues per the normal schedule (§2.1–2.2). The new owner assumes the Company’s obligations under this Agreement.</w:t>
            </w:r>
          </w:p>
        </w:tc>
      </w:tr>
      <w:tr>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shd w:fill="F5F5F5" w:val="clear"/>
              <w:spacing w:before="60" w:after="60"/>
              <w:ind w:left="200" w:right="200"/>
            </w:pPr>
            <w:r>
              <w:rPr>
                <w:rFonts w:ascii="Calibri" w:cs="Calibri" w:eastAsia="Calibri" w:hAnsi="Calibri"/>
                <w:color w:val="FF3E00"/>
                <w:sz w:val="18"/>
                <w:szCs w:val="18"/>
              </w:rPr>
              <w:t xml:space="preserve">ℹ </w:t>
            </w:r>
            <w:r>
              <w:rPr>
                <w:rFonts w:ascii="Calibri" w:cs="Calibri" w:eastAsia="Calibri" w:hAnsi="Calibri"/>
                <w:i/>
                <w:iCs/>
                <w:color w:val="666666"/>
                <w:sz w:val="18"/>
                <w:szCs w:val="18"/>
              </w:rPr>
              <w:t xml:space="preserve">Dette er kjernen i dobbel trigger: Beholder du jobben = ingen endring. Mister du jobben etter salg = full akselerasjon. Modellen er balansert mellom gründervern og kjøperens behov for å beholde nøkkelpersonell.</w:t>
            </w:r>
          </w:p>
        </w:tc>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shd w:fill="F5F5F5" w:val="clear"/>
              <w:spacing w:before="60" w:after="60"/>
              <w:ind w:left="200" w:right="200"/>
            </w:pPr>
            <w:r>
              <w:rPr>
                <w:rFonts w:ascii="Calibri" w:cs="Calibri" w:eastAsia="Calibri" w:hAnsi="Calibri"/>
                <w:color w:val="FF3E00"/>
                <w:sz w:val="18"/>
                <w:szCs w:val="18"/>
              </w:rPr>
              <w:t xml:space="preserve">ℹ </w:t>
            </w:r>
            <w:r>
              <w:rPr>
                <w:rFonts w:ascii="Calibri" w:cs="Calibri" w:eastAsia="Calibri" w:hAnsi="Calibri"/>
                <w:i/>
                <w:iCs/>
                <w:color w:val="666666"/>
                <w:sz w:val="18"/>
                <w:szCs w:val="18"/>
              </w:rPr>
              <w:t xml:space="preserve">This is the core of double trigger: Keep your job = no change. Lose your job post-sale = full acceleration. The model balances founder protection with the acquirer’s need to retain key personnel.</w:t>
            </w:r>
          </w:p>
        </w:tc>
      </w:tr>
      <w:tr>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pBdr>
                <w:bottom w:val="single" w:color="FF3E00" w:sz="2"/>
              </w:pBdr>
              <w:spacing w:before="200" w:after="80"/>
            </w:pPr>
            <w:r>
              <w:rPr>
                <w:rFonts w:ascii="Calibri" w:cs="Calibri" w:eastAsia="Calibri" w:hAnsi="Calibri"/>
                <w:b/>
                <w:bCs/>
                <w:color w:val="FF3E00"/>
                <w:spacing w:val="50"/>
                <w:sz w:val="20"/>
                <w:szCs w:val="20"/>
              </w:rPr>
              <w:t xml:space="preserve">§ A.4  PROSEDYRE OG VARSLING</w:t>
            </w:r>
          </w:p>
        </w:tc>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pBdr>
                <w:bottom w:val="single" w:color="FF3E00" w:sz="2"/>
              </w:pBdr>
              <w:spacing w:before="200" w:after="80"/>
            </w:pPr>
            <w:r>
              <w:rPr>
                <w:rFonts w:ascii="Calibri" w:cs="Calibri" w:eastAsia="Calibri" w:hAnsi="Calibri"/>
                <w:b/>
                <w:bCs/>
                <w:color w:val="FF3E00"/>
                <w:spacing w:val="50"/>
                <w:sz w:val="20"/>
                <w:szCs w:val="20"/>
              </w:rPr>
              <w:t xml:space="preserve">§ A.4  PROCEDURE AND NOTICE</w:t>
            </w:r>
          </w:p>
        </w:tc>
      </w:tr>
      <w:tr>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40"/>
              <w:ind w:left="300"/>
            </w:pPr>
            <w:r>
              <w:rPr>
                <w:rFonts w:ascii="Calibri" w:cs="Calibri" w:eastAsia="Calibri" w:hAnsi="Calibri"/>
                <w:b/>
                <w:bCs/>
                <w:color w:val="FF3E00"/>
                <w:sz w:val="19"/>
                <w:szCs w:val="19"/>
              </w:rPr>
              <w:t xml:space="preserve">(a) </w:t>
            </w:r>
            <w:r>
              <w:rPr>
                <w:rFonts w:ascii="Calibri" w:cs="Calibri" w:eastAsia="Calibri" w:hAnsi="Calibri"/>
                <w:color w:val="1A1A1A"/>
                <w:sz w:val="19"/>
                <w:szCs w:val="19"/>
              </w:rPr>
              <w:t xml:space="preserve">Varsling: Parten må skriftlig påberope seg akselerasjon innen 60 kalenderdager etter den Kvalifiserte oppsigelsen.</w:t>
            </w:r>
          </w:p>
          <w:p>
            <w:pPr>
              <w:spacing w:after="40"/>
              <w:ind w:left="300"/>
            </w:pPr>
            <w:r>
              <w:rPr>
                <w:rFonts w:ascii="Calibri" w:cs="Calibri" w:eastAsia="Calibri" w:hAnsi="Calibri"/>
                <w:b/>
                <w:bCs/>
                <w:color w:val="FF3E00"/>
                <w:sz w:val="19"/>
                <w:szCs w:val="19"/>
              </w:rPr>
              <w:t xml:space="preserve">(b) </w:t>
            </w:r>
            <w:r>
              <w:rPr>
                <w:rFonts w:ascii="Calibri" w:cs="Calibri" w:eastAsia="Calibri" w:hAnsi="Calibri"/>
                <w:color w:val="1A1A1A"/>
                <w:sz w:val="19"/>
                <w:szCs w:val="19"/>
              </w:rPr>
              <w:t xml:space="preserve">Dokumentasjon: Varselet skal inneholde dokumentasjon på både Kontrollskiftet og den Kvalifiserte oppsigelsen.</w:t>
            </w:r>
          </w:p>
          <w:p>
            <w:pPr>
              <w:spacing w:after="40"/>
              <w:ind w:left="300"/>
            </w:pPr>
            <w:r>
              <w:rPr>
                <w:rFonts w:ascii="Calibri" w:cs="Calibri" w:eastAsia="Calibri" w:hAnsi="Calibri"/>
                <w:b/>
                <w:bCs/>
                <w:color w:val="FF3E00"/>
                <w:sz w:val="19"/>
                <w:szCs w:val="19"/>
              </w:rPr>
              <w:t xml:space="preserve">(c) </w:t>
            </w:r>
            <w:r>
              <w:rPr>
                <w:rFonts w:ascii="Calibri" w:cs="Calibri" w:eastAsia="Calibri" w:hAnsi="Calibri"/>
                <w:color w:val="1A1A1A"/>
                <w:sz w:val="19"/>
                <w:szCs w:val="19"/>
              </w:rPr>
              <w:t xml:space="preserve">Styrebehandling: Styret behandler kravet innen 14 virkedager og fatter vedtak med alminnelig flertall.</w:t>
            </w:r>
          </w:p>
          <w:p>
            <w:pPr>
              <w:spacing w:after="40"/>
              <w:ind w:left="300"/>
            </w:pPr>
            <w:r>
              <w:rPr>
                <w:rFonts w:ascii="Calibri" w:cs="Calibri" w:eastAsia="Calibri" w:hAnsi="Calibri"/>
                <w:b/>
                <w:bCs/>
                <w:color w:val="FF3E00"/>
                <w:sz w:val="19"/>
                <w:szCs w:val="19"/>
              </w:rPr>
              <w:t xml:space="preserve">(d) </w:t>
            </w:r>
            <w:r>
              <w:rPr>
                <w:rFonts w:ascii="Calibri" w:cs="Calibri" w:eastAsia="Calibri" w:hAnsi="Calibri"/>
                <w:color w:val="1A1A1A"/>
                <w:sz w:val="19"/>
                <w:szCs w:val="19"/>
              </w:rPr>
              <w:t xml:space="preserve">Gjennomføring: Ved godkjent akselerasjon oppdateres aksjeboken innen 5 virkedager. Partens aksjer anses fullt vested.</w:t>
            </w:r>
          </w:p>
          <w:p>
            <w:pPr>
              <w:spacing w:after="40"/>
              <w:ind w:left="300"/>
            </w:pPr>
            <w:r>
              <w:rPr>
                <w:rFonts w:ascii="Calibri" w:cs="Calibri" w:eastAsia="Calibri" w:hAnsi="Calibri"/>
                <w:b/>
                <w:bCs/>
                <w:color w:val="FF3E00"/>
                <w:sz w:val="19"/>
                <w:szCs w:val="19"/>
              </w:rPr>
              <w:t xml:space="preserve">(e) </w:t>
            </w:r>
            <w:r>
              <w:rPr>
                <w:rFonts w:ascii="Calibri" w:cs="Calibri" w:eastAsia="Calibri" w:hAnsi="Calibri"/>
                <w:color w:val="1A1A1A"/>
                <w:sz w:val="19"/>
                <w:szCs w:val="19"/>
              </w:rPr>
              <w:t xml:space="preserve">Tvist: Dersom Styret avviser kravet, kan Parten kreve voldgift iht. §14. Tapende part bærer begge parters rimelige sakskostnader.</w:t>
            </w:r>
          </w:p>
        </w:tc>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40"/>
              <w:ind w:left="300"/>
            </w:pPr>
            <w:r>
              <w:rPr>
                <w:rFonts w:ascii="Calibri" w:cs="Calibri" w:eastAsia="Calibri" w:hAnsi="Calibri"/>
                <w:b/>
                <w:bCs/>
                <w:color w:val="FF3E00"/>
                <w:sz w:val="19"/>
                <w:szCs w:val="19"/>
              </w:rPr>
              <w:t xml:space="preserve">(a) </w:t>
            </w:r>
            <w:r>
              <w:rPr>
                <w:rFonts w:ascii="Calibri" w:cs="Calibri" w:eastAsia="Calibri" w:hAnsi="Calibri"/>
                <w:color w:val="1A1A1A"/>
                <w:sz w:val="19"/>
                <w:szCs w:val="19"/>
              </w:rPr>
              <w:t xml:space="preserve">Notice: The Party must invoke acceleration in writing within 60 calendar days of the Qualifying Termination.</w:t>
            </w:r>
          </w:p>
          <w:p>
            <w:pPr>
              <w:spacing w:after="40"/>
              <w:ind w:left="300"/>
            </w:pPr>
            <w:r>
              <w:rPr>
                <w:rFonts w:ascii="Calibri" w:cs="Calibri" w:eastAsia="Calibri" w:hAnsi="Calibri"/>
                <w:b/>
                <w:bCs/>
                <w:color w:val="FF3E00"/>
                <w:sz w:val="19"/>
                <w:szCs w:val="19"/>
              </w:rPr>
              <w:t xml:space="preserve">(b) </w:t>
            </w:r>
            <w:r>
              <w:rPr>
                <w:rFonts w:ascii="Calibri" w:cs="Calibri" w:eastAsia="Calibri" w:hAnsi="Calibri"/>
                <w:color w:val="1A1A1A"/>
                <w:sz w:val="19"/>
                <w:szCs w:val="19"/>
              </w:rPr>
              <w:t xml:space="preserve">Documentation: The notice must include evidence of both the Change of Control and the Qualifying Termination.</w:t>
            </w:r>
          </w:p>
          <w:p>
            <w:pPr>
              <w:spacing w:after="40"/>
              <w:ind w:left="300"/>
            </w:pPr>
            <w:r>
              <w:rPr>
                <w:rFonts w:ascii="Calibri" w:cs="Calibri" w:eastAsia="Calibri" w:hAnsi="Calibri"/>
                <w:b/>
                <w:bCs/>
                <w:color w:val="FF3E00"/>
                <w:sz w:val="19"/>
                <w:szCs w:val="19"/>
              </w:rPr>
              <w:t xml:space="preserve">(c) </w:t>
            </w:r>
            <w:r>
              <w:rPr>
                <w:rFonts w:ascii="Calibri" w:cs="Calibri" w:eastAsia="Calibri" w:hAnsi="Calibri"/>
                <w:color w:val="1A1A1A"/>
                <w:sz w:val="19"/>
                <w:szCs w:val="19"/>
              </w:rPr>
              <w:t xml:space="preserve">Board Resolution: The Board considers the claim within 14 business days and resolves by simple majority.</w:t>
            </w:r>
          </w:p>
          <w:p>
            <w:pPr>
              <w:spacing w:after="40"/>
              <w:ind w:left="300"/>
            </w:pPr>
            <w:r>
              <w:rPr>
                <w:rFonts w:ascii="Calibri" w:cs="Calibri" w:eastAsia="Calibri" w:hAnsi="Calibri"/>
                <w:b/>
                <w:bCs/>
                <w:color w:val="FF3E00"/>
                <w:sz w:val="19"/>
                <w:szCs w:val="19"/>
              </w:rPr>
              <w:t xml:space="preserve">(d) </w:t>
            </w:r>
            <w:r>
              <w:rPr>
                <w:rFonts w:ascii="Calibri" w:cs="Calibri" w:eastAsia="Calibri" w:hAnsi="Calibri"/>
                <w:color w:val="1A1A1A"/>
                <w:sz w:val="19"/>
                <w:szCs w:val="19"/>
              </w:rPr>
              <w:t xml:space="preserve">Execution: Upon approved acceleration, the share register is updated within 5 business days. The Party’s shares are deemed fully vested.</w:t>
            </w:r>
          </w:p>
          <w:p>
            <w:pPr>
              <w:spacing w:after="40"/>
              <w:ind w:left="300"/>
            </w:pPr>
            <w:r>
              <w:rPr>
                <w:rFonts w:ascii="Calibri" w:cs="Calibri" w:eastAsia="Calibri" w:hAnsi="Calibri"/>
                <w:b/>
                <w:bCs/>
                <w:color w:val="FF3E00"/>
                <w:sz w:val="19"/>
                <w:szCs w:val="19"/>
              </w:rPr>
              <w:t xml:space="preserve">(e) </w:t>
            </w:r>
            <w:r>
              <w:rPr>
                <w:rFonts w:ascii="Calibri" w:cs="Calibri" w:eastAsia="Calibri" w:hAnsi="Calibri"/>
                <w:color w:val="1A1A1A"/>
                <w:sz w:val="19"/>
                <w:szCs w:val="19"/>
              </w:rPr>
              <w:t xml:space="preserve">Dispute: If the Board rejects the claim, the Party may request arbitration per §14. The losing party bears both parties’ reasonable legal costs.</w:t>
            </w:r>
          </w:p>
        </w:tc>
      </w:tr>
      <w:tr>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pBdr>
                <w:bottom w:val="single" w:color="FF3E00" w:sz="2"/>
              </w:pBdr>
              <w:spacing w:before="200" w:after="80"/>
            </w:pPr>
            <w:r>
              <w:rPr>
                <w:rFonts w:ascii="Calibri" w:cs="Calibri" w:eastAsia="Calibri" w:hAnsi="Calibri"/>
                <w:b/>
                <w:bCs/>
                <w:color w:val="FF3E00"/>
                <w:spacing w:val="50"/>
                <w:sz w:val="20"/>
                <w:szCs w:val="20"/>
              </w:rPr>
              <w:t xml:space="preserve">§ A.5  UNNTAK OG BEGRENSNINGER</w:t>
            </w:r>
          </w:p>
        </w:tc>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pBdr>
                <w:bottom w:val="single" w:color="FF3E00" w:sz="2"/>
              </w:pBdr>
              <w:spacing w:before="200" w:after="80"/>
            </w:pPr>
            <w:r>
              <w:rPr>
                <w:rFonts w:ascii="Calibri" w:cs="Calibri" w:eastAsia="Calibri" w:hAnsi="Calibri"/>
                <w:b/>
                <w:bCs/>
                <w:color w:val="FF3E00"/>
                <w:spacing w:val="50"/>
                <w:sz w:val="20"/>
                <w:szCs w:val="20"/>
              </w:rPr>
              <w:t xml:space="preserve">§ A.5  EXCEPTIONS AND LIMITATIONS</w:t>
            </w:r>
          </w:p>
        </w:tc>
      </w:tr>
      <w:tr>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100"/>
            </w:pPr>
            <w:r>
              <w:rPr>
                <w:rFonts w:ascii="Calibri" w:cs="Calibri" w:eastAsia="Calibri" w:hAnsi="Calibri"/>
                <w:b w:val="false"/>
                <w:bCs w:val="false"/>
                <w:i w:val="false"/>
                <w:iCs w:val="false"/>
                <w:color w:val="1A1A1A"/>
                <w:sz w:val="20"/>
                <w:szCs w:val="20"/>
              </w:rPr>
              <w:t xml:space="preserve">Akselerasjon gjelder IKKE dersom:</w:t>
            </w:r>
          </w:p>
        </w:tc>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100"/>
            </w:pPr>
            <w:r>
              <w:rPr>
                <w:rFonts w:ascii="Calibri" w:cs="Calibri" w:eastAsia="Calibri" w:hAnsi="Calibri"/>
                <w:b w:val="false"/>
                <w:bCs w:val="false"/>
                <w:i w:val="false"/>
                <w:iCs w:val="false"/>
                <w:color w:val="1A1A1A"/>
                <w:sz w:val="20"/>
                <w:szCs w:val="20"/>
              </w:rPr>
              <w:t xml:space="preserve">Acceleration does NOT apply if:</w:t>
            </w:r>
          </w:p>
        </w:tc>
      </w:tr>
      <w:tr>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40"/>
              <w:ind w:left="300"/>
            </w:pPr>
            <w:r>
              <w:rPr>
                <w:rFonts w:ascii="Calibri" w:cs="Calibri" w:eastAsia="Calibri" w:hAnsi="Calibri"/>
                <w:b/>
                <w:bCs/>
                <w:color w:val="FF3E00"/>
                <w:sz w:val="19"/>
                <w:szCs w:val="19"/>
              </w:rPr>
              <w:t xml:space="preserve">(a) </w:t>
            </w:r>
            <w:r>
              <w:rPr>
                <w:rFonts w:ascii="Calibri" w:cs="Calibri" w:eastAsia="Calibri" w:hAnsi="Calibri"/>
                <w:color w:val="1A1A1A"/>
                <w:sz w:val="19"/>
                <w:szCs w:val="19"/>
              </w:rPr>
              <w:t xml:space="preserve">Parten har status som Bad Leaver (§8.2) på tidspunktet for Kontrollskiftet eller den angivelige Kvalifiserte oppsigelsen. Bad Leaver-reglene overstyrer akselerasjon.</w:t>
            </w:r>
          </w:p>
          <w:p>
            <w:pPr>
              <w:spacing w:after="40"/>
              <w:ind w:left="300"/>
            </w:pPr>
            <w:r>
              <w:rPr>
                <w:rFonts w:ascii="Calibri" w:cs="Calibri" w:eastAsia="Calibri" w:hAnsi="Calibri"/>
                <w:b/>
                <w:bCs/>
                <w:color w:val="FF3E00"/>
                <w:sz w:val="19"/>
                <w:szCs w:val="19"/>
              </w:rPr>
              <w:t xml:space="preserve">(b) </w:t>
            </w:r>
            <w:r>
              <w:rPr>
                <w:rFonts w:ascii="Calibri" w:cs="Calibri" w:eastAsia="Calibri" w:hAnsi="Calibri"/>
                <w:color w:val="1A1A1A"/>
                <w:sz w:val="19"/>
                <w:szCs w:val="19"/>
              </w:rPr>
              <w:t xml:space="preserve">Parten frivillig fratrer sin stilling uten at vilkårene for Kvalifisert oppsigelse er oppfylt (§A.2.2).</w:t>
            </w:r>
          </w:p>
          <w:p>
            <w:pPr>
              <w:spacing w:after="40"/>
              <w:ind w:left="300"/>
            </w:pPr>
            <w:r>
              <w:rPr>
                <w:rFonts w:ascii="Calibri" w:cs="Calibri" w:eastAsia="Calibri" w:hAnsi="Calibri"/>
                <w:b/>
                <w:bCs/>
                <w:color w:val="FF3E00"/>
                <w:sz w:val="19"/>
                <w:szCs w:val="19"/>
              </w:rPr>
              <w:t xml:space="preserve">(c) </w:t>
            </w:r>
            <w:r>
              <w:rPr>
                <w:rFonts w:ascii="Calibri" w:cs="Calibri" w:eastAsia="Calibri" w:hAnsi="Calibri"/>
                <w:color w:val="1A1A1A"/>
                <w:sz w:val="19"/>
                <w:szCs w:val="19"/>
              </w:rPr>
              <w:t xml:space="preserve">Oppsigelsen skyldes en hendelse som ville kvalifisert som Bad Leaver uavhengig av Kontrollskiftet.</w:t>
            </w:r>
          </w:p>
          <w:p>
            <w:pPr>
              <w:spacing w:after="40"/>
              <w:ind w:left="300"/>
            </w:pPr>
            <w:r>
              <w:rPr>
                <w:rFonts w:ascii="Calibri" w:cs="Calibri" w:eastAsia="Calibri" w:hAnsi="Calibri"/>
                <w:b/>
                <w:bCs/>
                <w:color w:val="FF3E00"/>
                <w:sz w:val="19"/>
                <w:szCs w:val="19"/>
              </w:rPr>
              <w:t xml:space="preserve">(d) </w:t>
            </w:r>
            <w:r>
              <w:rPr>
                <w:rFonts w:ascii="Calibri" w:cs="Calibri" w:eastAsia="Calibri" w:hAnsi="Calibri"/>
                <w:color w:val="1A1A1A"/>
                <w:sz w:val="19"/>
                <w:szCs w:val="19"/>
              </w:rPr>
              <w:t xml:space="preserve">Parten og Selskapet (eller ny eier) inngår en gjensidig fratrådelsesavtale som eksplisitt frafaller akselerasjonsrettigheter.</w:t>
            </w:r>
          </w:p>
        </w:tc>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40"/>
              <w:ind w:left="300"/>
            </w:pPr>
            <w:r>
              <w:rPr>
                <w:rFonts w:ascii="Calibri" w:cs="Calibri" w:eastAsia="Calibri" w:hAnsi="Calibri"/>
                <w:b/>
                <w:bCs/>
                <w:color w:val="FF3E00"/>
                <w:sz w:val="19"/>
                <w:szCs w:val="19"/>
              </w:rPr>
              <w:t xml:space="preserve">(a) </w:t>
            </w:r>
            <w:r>
              <w:rPr>
                <w:rFonts w:ascii="Calibri" w:cs="Calibri" w:eastAsia="Calibri" w:hAnsi="Calibri"/>
                <w:color w:val="1A1A1A"/>
                <w:sz w:val="19"/>
                <w:szCs w:val="19"/>
              </w:rPr>
              <w:t xml:space="preserve">The Party has Bad Leaver status (§8.2) at the time of the Change of Control or the alleged Qualifying Termination. Bad Leaver provisions override acceleration.</w:t>
            </w:r>
          </w:p>
          <w:p>
            <w:pPr>
              <w:spacing w:after="40"/>
              <w:ind w:left="300"/>
            </w:pPr>
            <w:r>
              <w:rPr>
                <w:rFonts w:ascii="Calibri" w:cs="Calibri" w:eastAsia="Calibri" w:hAnsi="Calibri"/>
                <w:b/>
                <w:bCs/>
                <w:color w:val="FF3E00"/>
                <w:sz w:val="19"/>
                <w:szCs w:val="19"/>
              </w:rPr>
              <w:t xml:space="preserve">(b) </w:t>
            </w:r>
            <w:r>
              <w:rPr>
                <w:rFonts w:ascii="Calibri" w:cs="Calibri" w:eastAsia="Calibri" w:hAnsi="Calibri"/>
                <w:color w:val="1A1A1A"/>
                <w:sz w:val="19"/>
                <w:szCs w:val="19"/>
              </w:rPr>
              <w:t xml:space="preserve">The Party voluntarily resigns without the conditions for Qualifying Termination being met (§A.2.2).</w:t>
            </w:r>
          </w:p>
          <w:p>
            <w:pPr>
              <w:spacing w:after="40"/>
              <w:ind w:left="300"/>
            </w:pPr>
            <w:r>
              <w:rPr>
                <w:rFonts w:ascii="Calibri" w:cs="Calibri" w:eastAsia="Calibri" w:hAnsi="Calibri"/>
                <w:b/>
                <w:bCs/>
                <w:color w:val="FF3E00"/>
                <w:sz w:val="19"/>
                <w:szCs w:val="19"/>
              </w:rPr>
              <w:t xml:space="preserve">(c) </w:t>
            </w:r>
            <w:r>
              <w:rPr>
                <w:rFonts w:ascii="Calibri" w:cs="Calibri" w:eastAsia="Calibri" w:hAnsi="Calibri"/>
                <w:color w:val="1A1A1A"/>
                <w:sz w:val="19"/>
                <w:szCs w:val="19"/>
              </w:rPr>
              <w:t xml:space="preserve">The termination is caused by an event that would qualify as Bad Leaver irrespective of the Change of Control.</w:t>
            </w:r>
          </w:p>
          <w:p>
            <w:pPr>
              <w:spacing w:after="40"/>
              <w:ind w:left="300"/>
            </w:pPr>
            <w:r>
              <w:rPr>
                <w:rFonts w:ascii="Calibri" w:cs="Calibri" w:eastAsia="Calibri" w:hAnsi="Calibri"/>
                <w:b/>
                <w:bCs/>
                <w:color w:val="FF3E00"/>
                <w:sz w:val="19"/>
                <w:szCs w:val="19"/>
              </w:rPr>
              <w:t xml:space="preserve">(d) </w:t>
            </w:r>
            <w:r>
              <w:rPr>
                <w:rFonts w:ascii="Calibri" w:cs="Calibri" w:eastAsia="Calibri" w:hAnsi="Calibri"/>
                <w:color w:val="1A1A1A"/>
                <w:sz w:val="19"/>
                <w:szCs w:val="19"/>
              </w:rPr>
              <w:t xml:space="preserve">The Party and the Company (or new owner) enter into a mutual separation agreement that explicitly waives acceleration rights.</w:t>
            </w:r>
          </w:p>
        </w:tc>
      </w:tr>
      <w:tr>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shd w:fill="F5F5F5" w:val="clear"/>
              <w:spacing w:before="60" w:after="60"/>
              <w:ind w:left="200" w:right="200"/>
            </w:pPr>
            <w:r>
              <w:rPr>
                <w:rFonts w:ascii="Calibri" w:cs="Calibri" w:eastAsia="Calibri" w:hAnsi="Calibri"/>
                <w:color w:val="FF3E00"/>
                <w:sz w:val="18"/>
                <w:szCs w:val="18"/>
              </w:rPr>
              <w:t xml:space="preserve">ℹ </w:t>
            </w:r>
            <w:r>
              <w:rPr>
                <w:rFonts w:ascii="Calibri" w:cs="Calibri" w:eastAsia="Calibri" w:hAnsi="Calibri"/>
                <w:i/>
                <w:iCs/>
                <w:color w:val="666666"/>
                <w:sz w:val="18"/>
                <w:szCs w:val="18"/>
              </w:rPr>
              <w:t xml:space="preserve">Garden leave-perioder teller ikke som Kvalifisert oppsigelse så lenge lønn og fordeler opprettholdes. Formell oppsigelsesdato er avgjørende.</w:t>
            </w:r>
          </w:p>
        </w:tc>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shd w:fill="F5F5F5" w:val="clear"/>
              <w:spacing w:before="60" w:after="60"/>
              <w:ind w:left="200" w:right="200"/>
            </w:pPr>
            <w:r>
              <w:rPr>
                <w:rFonts w:ascii="Calibri" w:cs="Calibri" w:eastAsia="Calibri" w:hAnsi="Calibri"/>
                <w:color w:val="FF3E00"/>
                <w:sz w:val="18"/>
                <w:szCs w:val="18"/>
              </w:rPr>
              <w:t xml:space="preserve">ℹ </w:t>
            </w:r>
            <w:r>
              <w:rPr>
                <w:rFonts w:ascii="Calibri" w:cs="Calibri" w:eastAsia="Calibri" w:hAnsi="Calibri"/>
                <w:i/>
                <w:iCs/>
                <w:color w:val="666666"/>
                <w:sz w:val="18"/>
                <w:szCs w:val="18"/>
              </w:rPr>
              <w:t xml:space="preserve">Garden leave periods do not count as Qualifying Termination provided salary and benefits are maintained. The formal termination date is determinative.</w:t>
            </w:r>
          </w:p>
        </w:tc>
      </w:tr>
      <w:tr>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pBdr>
                <w:bottom w:val="single" w:color="FF3E00" w:sz="2"/>
              </w:pBdr>
              <w:spacing w:before="200" w:after="80"/>
            </w:pPr>
            <w:r>
              <w:rPr>
                <w:rFonts w:ascii="Calibri" w:cs="Calibri" w:eastAsia="Calibri" w:hAnsi="Calibri"/>
                <w:b/>
                <w:bCs/>
                <w:color w:val="FF3E00"/>
                <w:spacing w:val="50"/>
                <w:sz w:val="20"/>
                <w:szCs w:val="20"/>
              </w:rPr>
              <w:t xml:space="preserve">§ A.6  BEREGNINGSEKSEMPLER</w:t>
            </w:r>
          </w:p>
        </w:tc>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pBdr>
                <w:bottom w:val="single" w:color="FF3E00" w:sz="2"/>
              </w:pBdr>
              <w:spacing w:before="200" w:after="80"/>
            </w:pPr>
            <w:r>
              <w:rPr>
                <w:rFonts w:ascii="Calibri" w:cs="Calibri" w:eastAsia="Calibri" w:hAnsi="Calibri"/>
                <w:b/>
                <w:bCs/>
                <w:color w:val="FF3E00"/>
                <w:spacing w:val="50"/>
                <w:sz w:val="20"/>
                <w:szCs w:val="20"/>
              </w:rPr>
              <w:t xml:space="preserve">§ A.6  CALCULATION EXAMPLES</w:t>
            </w:r>
          </w:p>
        </w:tc>
      </w:tr>
      <w:tr>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100"/>
            </w:pPr>
            <w:r>
              <w:rPr>
                <w:rFonts w:ascii="Calibri" w:cs="Calibri" w:eastAsia="Calibri" w:hAnsi="Calibri"/>
                <w:b w:val="false"/>
                <w:bCs w:val="false"/>
                <w:i w:val="false"/>
                <w:iCs w:val="false"/>
                <w:color w:val="1A1A1A"/>
                <w:sz w:val="20"/>
                <w:szCs w:val="20"/>
              </w:rPr>
              <w:t xml:space="preserve">Eksemplene nedenfor illustrerer utfallet for Hölen Industrier AS (562 500 aksjer) ved salg på ulike tidspunkt, forutsatt at Kvalifisert oppsigelse inntreffer innen Beskyttelsesperioden.</w:t>
            </w:r>
          </w:p>
        </w:tc>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100"/>
            </w:pPr>
            <w:r>
              <w:rPr>
                <w:rFonts w:ascii="Calibri" w:cs="Calibri" w:eastAsia="Calibri" w:hAnsi="Calibri"/>
                <w:b w:val="false"/>
                <w:bCs w:val="false"/>
                <w:i w:val="false"/>
                <w:iCs w:val="false"/>
                <w:color w:val="1A1A1A"/>
                <w:sz w:val="20"/>
                <w:szCs w:val="20"/>
              </w:rPr>
              <w:t xml:space="preserve">The examples below illustrate the outcome for Hölen Industrier AS (562,500 shares) upon sale at various points, assuming Qualifying Termination occurs within the Protection Period.</w:t>
            </w:r>
          </w:p>
        </w:tc>
      </w:tr>
      <w:tr>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100"/>
            </w:pPr>
            <w:r>
              <w:rPr>
                <w:rFonts w:ascii="Calibri" w:cs="Calibri" w:eastAsia="Calibri" w:hAnsi="Calibri"/>
                <w:b w:val="false"/>
                <w:bCs w:val="false"/>
                <w:i w:val="false"/>
                <w:iCs w:val="false"/>
                <w:color w:val="1A1A1A"/>
                <w:sz w:val="20"/>
                <w:szCs w:val="20"/>
              </w:rPr>
              <w:t xml:space="preserve">Scenario: Salg + Kvalifisert oppsigelse (begge triggere oppfylt):</w:t>
            </w:r>
          </w:p>
          <w:tbl>
            <w:tblPr>
              <w:tblW w:type="dxa" w:w="4600"/>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1200"/>
              <w:gridCol w:w="1400"/>
            </w:tblGrid>
            <w:tr>
              <w:tc>
                <w:tcPr>
                  <w:tcW w:type="dxa" w:w="900"/>
                  <w:tcBorders>
                    <w:top w:val="single" w:color="CCCCCC" w:sz="1"/>
                    <w:left w:val="single" w:color="CCCCCC" w:sz="1"/>
                    <w:bottom w:val="single" w:color="CCCCCC" w:sz="1"/>
                    <w:right w:val="single" w:color="CCCCCC" w:sz="1"/>
                  </w:tcBorders>
                  <w:shd w:fill="D5E8F0" w:val="clear"/>
                  <w:tcMar>
                    <w:top w:type="dxa" w:w="30"/>
                    <w:left w:type="dxa" w:w="40"/>
                    <w:bottom w:type="dxa" w:w="30"/>
                    <w:right w:type="dxa" w:w="40"/>
                  </w:tcMar>
                </w:tcPr>
                <w:p>
                  <w:r>
                    <w:rPr>
                      <w:rFonts w:ascii="Calibri" w:cs="Calibri" w:eastAsia="Calibri" w:hAnsi="Calibri"/>
                      <w:b/>
                      <w:bCs/>
                      <w:color w:val="1A1A1A"/>
                      <w:sz w:val="16"/>
                      <w:szCs w:val="16"/>
                    </w:rPr>
                    <w:t xml:space="preserve">Mnd</w:t>
                  </w:r>
                </w:p>
              </w:tc>
              <w:tc>
                <w:tcPr>
                  <w:tcW w:type="dxa" w:w="1100"/>
                  <w:tcBorders>
                    <w:top w:val="single" w:color="CCCCCC" w:sz="1"/>
                    <w:left w:val="single" w:color="CCCCCC" w:sz="1"/>
                    <w:bottom w:val="single" w:color="CCCCCC" w:sz="1"/>
                    <w:right w:val="single" w:color="CCCCCC" w:sz="1"/>
                  </w:tcBorders>
                  <w:shd w:fill="D5E8F0" w:val="clear"/>
                  <w:tcMar>
                    <w:top w:type="dxa" w:w="30"/>
                    <w:left w:type="dxa" w:w="40"/>
                    <w:bottom w:type="dxa" w:w="30"/>
                    <w:right w:type="dxa" w:w="40"/>
                  </w:tcMar>
                </w:tcPr>
                <w:p>
                  <w:r>
                    <w:rPr>
                      <w:rFonts w:ascii="Calibri" w:cs="Calibri" w:eastAsia="Calibri" w:hAnsi="Calibri"/>
                      <w:b/>
                      <w:bCs/>
                      <w:color w:val="1A1A1A"/>
                      <w:sz w:val="16"/>
                      <w:szCs w:val="16"/>
                    </w:rPr>
                    <w:t xml:space="preserve">Vested %</w:t>
                  </w:r>
                </w:p>
              </w:tc>
              <w:tc>
                <w:tcPr>
                  <w:tcW w:type="dxa" w:w="1200"/>
                  <w:tcBorders>
                    <w:top w:val="single" w:color="CCCCCC" w:sz="1"/>
                    <w:left w:val="single" w:color="CCCCCC" w:sz="1"/>
                    <w:bottom w:val="single" w:color="CCCCCC" w:sz="1"/>
                    <w:right w:val="single" w:color="CCCCCC" w:sz="1"/>
                  </w:tcBorders>
                  <w:shd w:fill="D5E8F0" w:val="clear"/>
                  <w:tcMar>
                    <w:top w:type="dxa" w:w="30"/>
                    <w:left w:type="dxa" w:w="40"/>
                    <w:bottom w:type="dxa" w:w="30"/>
                    <w:right w:type="dxa" w:w="40"/>
                  </w:tcMar>
                </w:tcPr>
                <w:p>
                  <w:r>
                    <w:rPr>
                      <w:rFonts w:ascii="Calibri" w:cs="Calibri" w:eastAsia="Calibri" w:hAnsi="Calibri"/>
                      <w:b/>
                      <w:bCs/>
                      <w:color w:val="1A1A1A"/>
                      <w:sz w:val="16"/>
                      <w:szCs w:val="16"/>
                    </w:rPr>
                    <w:t xml:space="preserve">Unvested %</w:t>
                  </w:r>
                </w:p>
              </w:tc>
              <w:tc>
                <w:tcPr>
                  <w:tcW w:type="dxa" w:w="1400"/>
                  <w:tcBorders>
                    <w:top w:val="single" w:color="CCCCCC" w:sz="1"/>
                    <w:left w:val="single" w:color="CCCCCC" w:sz="1"/>
                    <w:bottom w:val="single" w:color="CCCCCC" w:sz="1"/>
                    <w:right w:val="single" w:color="CCCCCC" w:sz="1"/>
                  </w:tcBorders>
                  <w:shd w:fill="D5E8F0" w:val="clear"/>
                  <w:tcMar>
                    <w:top w:type="dxa" w:w="30"/>
                    <w:left w:type="dxa" w:w="40"/>
                    <w:bottom w:type="dxa" w:w="30"/>
                    <w:right w:type="dxa" w:w="40"/>
                  </w:tcMar>
                </w:tcPr>
                <w:p>
                  <w:r>
                    <w:rPr>
                      <w:rFonts w:ascii="Calibri" w:cs="Calibri" w:eastAsia="Calibri" w:hAnsi="Calibri"/>
                      <w:b/>
                      <w:bCs/>
                      <w:color w:val="1A1A1A"/>
                      <w:sz w:val="16"/>
                      <w:szCs w:val="16"/>
                    </w:rPr>
                    <w:t xml:space="preserve">Akselerert?</w:t>
                  </w:r>
                </w:p>
              </w:tc>
            </w:tr>
            <w:tr>
              <w:tc>
                <w:tcPr>
                  <w:tcW w:type="dxa" w:w="900"/>
                  <w:tcBorders>
                    <w:top w:val="single" w:color="CCCCCC" w:sz="1"/>
                    <w:left w:val="single" w:color="CCCCCC" w:sz="1"/>
                    <w:bottom w:val="single" w:color="CCCCCC" w:sz="1"/>
                    <w:right w:val="single" w:color="CCCCCC" w:sz="1"/>
                  </w:tcBorders>
                  <w:tcMar>
                    <w:top w:type="dxa" w:w="20"/>
                    <w:left w:type="dxa" w:w="40"/>
                    <w:bottom w:type="dxa" w:w="20"/>
                    <w:right w:type="dxa" w:w="40"/>
                  </w:tcMar>
                </w:tcPr>
                <w:p>
                  <w:r>
                    <w:rPr>
                      <w:rFonts w:ascii="Calibri" w:cs="Calibri" w:eastAsia="Calibri" w:hAnsi="Calibri"/>
                      <w:color w:val="1A1A1A"/>
                      <w:sz w:val="16"/>
                      <w:szCs w:val="16"/>
                    </w:rPr>
                    <w:t xml:space="preserve">18</w:t>
                  </w:r>
                </w:p>
              </w:tc>
              <w:tc>
                <w:tcPr>
                  <w:tcW w:type="dxa" w:w="1100"/>
                  <w:tcBorders>
                    <w:top w:val="single" w:color="CCCCCC" w:sz="1"/>
                    <w:left w:val="single" w:color="CCCCCC" w:sz="1"/>
                    <w:bottom w:val="single" w:color="CCCCCC" w:sz="1"/>
                    <w:right w:val="single" w:color="CCCCCC" w:sz="1"/>
                  </w:tcBorders>
                  <w:tcMar>
                    <w:top w:type="dxa" w:w="20"/>
                    <w:left w:type="dxa" w:w="40"/>
                    <w:bottom w:type="dxa" w:w="20"/>
                    <w:right w:type="dxa" w:w="40"/>
                  </w:tcMar>
                </w:tcPr>
                <w:p>
                  <w:r>
                    <w:rPr>
                      <w:rFonts w:ascii="Calibri" w:cs="Calibri" w:eastAsia="Calibri" w:hAnsi="Calibri"/>
                      <w:color w:val="1A1A1A"/>
                      <w:sz w:val="16"/>
                      <w:szCs w:val="16"/>
                    </w:rPr>
                    <w:t xml:space="preserve">25.0%</w:t>
                  </w:r>
                </w:p>
              </w:tc>
              <w:tc>
                <w:tcPr>
                  <w:tcW w:type="dxa" w:w="1200"/>
                  <w:tcBorders>
                    <w:top w:val="single" w:color="CCCCCC" w:sz="1"/>
                    <w:left w:val="single" w:color="CCCCCC" w:sz="1"/>
                    <w:bottom w:val="single" w:color="CCCCCC" w:sz="1"/>
                    <w:right w:val="single" w:color="CCCCCC" w:sz="1"/>
                  </w:tcBorders>
                  <w:tcMar>
                    <w:top w:type="dxa" w:w="20"/>
                    <w:left w:type="dxa" w:w="40"/>
                    <w:bottom w:type="dxa" w:w="20"/>
                    <w:right w:type="dxa" w:w="40"/>
                  </w:tcMar>
                </w:tcPr>
                <w:p>
                  <w:r>
                    <w:rPr>
                      <w:rFonts w:ascii="Calibri" w:cs="Calibri" w:eastAsia="Calibri" w:hAnsi="Calibri"/>
                      <w:color w:val="1A1A1A"/>
                      <w:sz w:val="16"/>
                      <w:szCs w:val="16"/>
                    </w:rPr>
                    <w:t xml:space="preserve">75.0%</w:t>
                  </w:r>
                </w:p>
              </w:tc>
              <w:tc>
                <w:tcPr>
                  <w:tcW w:type="dxa" w:w="1400"/>
                  <w:tcBorders>
                    <w:top w:val="single" w:color="CCCCCC" w:sz="1"/>
                    <w:left w:val="single" w:color="CCCCCC" w:sz="1"/>
                    <w:bottom w:val="single" w:color="CCCCCC" w:sz="1"/>
                    <w:right w:val="single" w:color="CCCCCC" w:sz="1"/>
                  </w:tcBorders>
                  <w:tcMar>
                    <w:top w:type="dxa" w:w="20"/>
                    <w:left w:type="dxa" w:w="40"/>
                    <w:bottom w:type="dxa" w:w="20"/>
                    <w:right w:type="dxa" w:w="40"/>
                  </w:tcMar>
                </w:tcPr>
                <w:p>
                  <w:r>
                    <w:rPr>
                      <w:rFonts w:ascii="Calibri" w:cs="Calibri" w:eastAsia="Calibri" w:hAnsi="Calibri"/>
                      <w:color w:val="1A1A1A"/>
                      <w:sz w:val="16"/>
                      <w:szCs w:val="16"/>
                    </w:rPr>
                    <w:t xml:space="preserve">Ja / Yes</w:t>
                  </w:r>
                </w:p>
              </w:tc>
            </w:tr>
            <w:tr>
              <w:tc>
                <w:tcPr>
                  <w:tcW w:type="dxa" w:w="900"/>
                  <w:tcBorders>
                    <w:top w:val="single" w:color="CCCCCC" w:sz="1"/>
                    <w:left w:val="single" w:color="CCCCCC" w:sz="1"/>
                    <w:bottom w:val="single" w:color="CCCCCC" w:sz="1"/>
                    <w:right w:val="single" w:color="CCCCCC" w:sz="1"/>
                  </w:tcBorders>
                  <w:tcMar>
                    <w:top w:type="dxa" w:w="20"/>
                    <w:left w:type="dxa" w:w="40"/>
                    <w:bottom w:type="dxa" w:w="20"/>
                    <w:right w:type="dxa" w:w="40"/>
                  </w:tcMar>
                </w:tcPr>
                <w:p>
                  <w:r>
                    <w:rPr>
                      <w:rFonts w:ascii="Calibri" w:cs="Calibri" w:eastAsia="Calibri" w:hAnsi="Calibri"/>
                      <w:color w:val="1A1A1A"/>
                      <w:sz w:val="16"/>
                      <w:szCs w:val="16"/>
                    </w:rPr>
                    <w:t xml:space="preserve">24</w:t>
                  </w:r>
                </w:p>
              </w:tc>
              <w:tc>
                <w:tcPr>
                  <w:tcW w:type="dxa" w:w="1100"/>
                  <w:tcBorders>
                    <w:top w:val="single" w:color="CCCCCC" w:sz="1"/>
                    <w:left w:val="single" w:color="CCCCCC" w:sz="1"/>
                    <w:bottom w:val="single" w:color="CCCCCC" w:sz="1"/>
                    <w:right w:val="single" w:color="CCCCCC" w:sz="1"/>
                  </w:tcBorders>
                  <w:tcMar>
                    <w:top w:type="dxa" w:w="20"/>
                    <w:left w:type="dxa" w:w="40"/>
                    <w:bottom w:type="dxa" w:w="20"/>
                    <w:right w:type="dxa" w:w="40"/>
                  </w:tcMar>
                </w:tcPr>
                <w:p>
                  <w:r>
                    <w:rPr>
                      <w:rFonts w:ascii="Calibri" w:cs="Calibri" w:eastAsia="Calibri" w:hAnsi="Calibri"/>
                      <w:color w:val="1A1A1A"/>
                      <w:sz w:val="16"/>
                      <w:szCs w:val="16"/>
                    </w:rPr>
                    <w:t xml:space="preserve">41.7%</w:t>
                  </w:r>
                </w:p>
              </w:tc>
              <w:tc>
                <w:tcPr>
                  <w:tcW w:type="dxa" w:w="1200"/>
                  <w:tcBorders>
                    <w:top w:val="single" w:color="CCCCCC" w:sz="1"/>
                    <w:left w:val="single" w:color="CCCCCC" w:sz="1"/>
                    <w:bottom w:val="single" w:color="CCCCCC" w:sz="1"/>
                    <w:right w:val="single" w:color="CCCCCC" w:sz="1"/>
                  </w:tcBorders>
                  <w:tcMar>
                    <w:top w:type="dxa" w:w="20"/>
                    <w:left w:type="dxa" w:w="40"/>
                    <w:bottom w:type="dxa" w:w="20"/>
                    <w:right w:type="dxa" w:w="40"/>
                  </w:tcMar>
                </w:tcPr>
                <w:p>
                  <w:r>
                    <w:rPr>
                      <w:rFonts w:ascii="Calibri" w:cs="Calibri" w:eastAsia="Calibri" w:hAnsi="Calibri"/>
                      <w:color w:val="1A1A1A"/>
                      <w:sz w:val="16"/>
                      <w:szCs w:val="16"/>
                    </w:rPr>
                    <w:t xml:space="preserve">58.3%</w:t>
                  </w:r>
                </w:p>
              </w:tc>
              <w:tc>
                <w:tcPr>
                  <w:tcW w:type="dxa" w:w="1400"/>
                  <w:tcBorders>
                    <w:top w:val="single" w:color="CCCCCC" w:sz="1"/>
                    <w:left w:val="single" w:color="CCCCCC" w:sz="1"/>
                    <w:bottom w:val="single" w:color="CCCCCC" w:sz="1"/>
                    <w:right w:val="single" w:color="CCCCCC" w:sz="1"/>
                  </w:tcBorders>
                  <w:tcMar>
                    <w:top w:type="dxa" w:w="20"/>
                    <w:left w:type="dxa" w:w="40"/>
                    <w:bottom w:type="dxa" w:w="20"/>
                    <w:right w:type="dxa" w:w="40"/>
                  </w:tcMar>
                </w:tcPr>
                <w:p>
                  <w:r>
                    <w:rPr>
                      <w:rFonts w:ascii="Calibri" w:cs="Calibri" w:eastAsia="Calibri" w:hAnsi="Calibri"/>
                      <w:color w:val="1A1A1A"/>
                      <w:sz w:val="16"/>
                      <w:szCs w:val="16"/>
                    </w:rPr>
                    <w:t xml:space="preserve">Ja / Yes</w:t>
                  </w:r>
                </w:p>
              </w:tc>
            </w:tr>
            <w:tr>
              <w:tc>
                <w:tcPr>
                  <w:tcW w:type="dxa" w:w="900"/>
                  <w:tcBorders>
                    <w:top w:val="single" w:color="CCCCCC" w:sz="1"/>
                    <w:left w:val="single" w:color="CCCCCC" w:sz="1"/>
                    <w:bottom w:val="single" w:color="CCCCCC" w:sz="1"/>
                    <w:right w:val="single" w:color="CCCCCC" w:sz="1"/>
                  </w:tcBorders>
                  <w:tcMar>
                    <w:top w:type="dxa" w:w="20"/>
                    <w:left w:type="dxa" w:w="40"/>
                    <w:bottom w:type="dxa" w:w="20"/>
                    <w:right w:type="dxa" w:w="40"/>
                  </w:tcMar>
                </w:tcPr>
                <w:p>
                  <w:r>
                    <w:rPr>
                      <w:rFonts w:ascii="Calibri" w:cs="Calibri" w:eastAsia="Calibri" w:hAnsi="Calibri"/>
                      <w:color w:val="1A1A1A"/>
                      <w:sz w:val="16"/>
                      <w:szCs w:val="16"/>
                    </w:rPr>
                    <w:t xml:space="preserve">30</w:t>
                  </w:r>
                </w:p>
              </w:tc>
              <w:tc>
                <w:tcPr>
                  <w:tcW w:type="dxa" w:w="1100"/>
                  <w:tcBorders>
                    <w:top w:val="single" w:color="CCCCCC" w:sz="1"/>
                    <w:left w:val="single" w:color="CCCCCC" w:sz="1"/>
                    <w:bottom w:val="single" w:color="CCCCCC" w:sz="1"/>
                    <w:right w:val="single" w:color="CCCCCC" w:sz="1"/>
                  </w:tcBorders>
                  <w:tcMar>
                    <w:top w:type="dxa" w:w="20"/>
                    <w:left w:type="dxa" w:w="40"/>
                    <w:bottom w:type="dxa" w:w="20"/>
                    <w:right w:type="dxa" w:w="40"/>
                  </w:tcMar>
                </w:tcPr>
                <w:p>
                  <w:r>
                    <w:rPr>
                      <w:rFonts w:ascii="Calibri" w:cs="Calibri" w:eastAsia="Calibri" w:hAnsi="Calibri"/>
                      <w:color w:val="1A1A1A"/>
                      <w:sz w:val="16"/>
                      <w:szCs w:val="16"/>
                    </w:rPr>
                    <w:t xml:space="preserve">58.3%</w:t>
                  </w:r>
                </w:p>
              </w:tc>
              <w:tc>
                <w:tcPr>
                  <w:tcW w:type="dxa" w:w="1200"/>
                  <w:tcBorders>
                    <w:top w:val="single" w:color="CCCCCC" w:sz="1"/>
                    <w:left w:val="single" w:color="CCCCCC" w:sz="1"/>
                    <w:bottom w:val="single" w:color="CCCCCC" w:sz="1"/>
                    <w:right w:val="single" w:color="CCCCCC" w:sz="1"/>
                  </w:tcBorders>
                  <w:tcMar>
                    <w:top w:type="dxa" w:w="20"/>
                    <w:left w:type="dxa" w:w="40"/>
                    <w:bottom w:type="dxa" w:w="20"/>
                    <w:right w:type="dxa" w:w="40"/>
                  </w:tcMar>
                </w:tcPr>
                <w:p>
                  <w:r>
                    <w:rPr>
                      <w:rFonts w:ascii="Calibri" w:cs="Calibri" w:eastAsia="Calibri" w:hAnsi="Calibri"/>
                      <w:color w:val="1A1A1A"/>
                      <w:sz w:val="16"/>
                      <w:szCs w:val="16"/>
                    </w:rPr>
                    <w:t xml:space="preserve">41.7%</w:t>
                  </w:r>
                </w:p>
              </w:tc>
              <w:tc>
                <w:tcPr>
                  <w:tcW w:type="dxa" w:w="1400"/>
                  <w:tcBorders>
                    <w:top w:val="single" w:color="CCCCCC" w:sz="1"/>
                    <w:left w:val="single" w:color="CCCCCC" w:sz="1"/>
                    <w:bottom w:val="single" w:color="CCCCCC" w:sz="1"/>
                    <w:right w:val="single" w:color="CCCCCC" w:sz="1"/>
                  </w:tcBorders>
                  <w:tcMar>
                    <w:top w:type="dxa" w:w="20"/>
                    <w:left w:type="dxa" w:w="40"/>
                    <w:bottom w:type="dxa" w:w="20"/>
                    <w:right w:type="dxa" w:w="40"/>
                  </w:tcMar>
                </w:tcPr>
                <w:p>
                  <w:r>
                    <w:rPr>
                      <w:rFonts w:ascii="Calibri" w:cs="Calibri" w:eastAsia="Calibri" w:hAnsi="Calibri"/>
                      <w:color w:val="1A1A1A"/>
                      <w:sz w:val="16"/>
                      <w:szCs w:val="16"/>
                    </w:rPr>
                    <w:t xml:space="preserve">Ja / Yes</w:t>
                  </w:r>
                </w:p>
              </w:tc>
            </w:tr>
            <w:tr>
              <w:tc>
                <w:tcPr>
                  <w:tcW w:type="dxa" w:w="900"/>
                  <w:tcBorders>
                    <w:top w:val="single" w:color="CCCCCC" w:sz="1"/>
                    <w:left w:val="single" w:color="CCCCCC" w:sz="1"/>
                    <w:bottom w:val="single" w:color="CCCCCC" w:sz="1"/>
                    <w:right w:val="single" w:color="CCCCCC" w:sz="1"/>
                  </w:tcBorders>
                  <w:tcMar>
                    <w:top w:type="dxa" w:w="20"/>
                    <w:left w:type="dxa" w:w="40"/>
                    <w:bottom w:type="dxa" w:w="20"/>
                    <w:right w:type="dxa" w:w="40"/>
                  </w:tcMar>
                </w:tcPr>
                <w:p>
                  <w:r>
                    <w:rPr>
                      <w:rFonts w:ascii="Calibri" w:cs="Calibri" w:eastAsia="Calibri" w:hAnsi="Calibri"/>
                      <w:color w:val="1A1A1A"/>
                      <w:sz w:val="16"/>
                      <w:szCs w:val="16"/>
                    </w:rPr>
                    <w:t xml:space="preserve">36</w:t>
                  </w:r>
                </w:p>
              </w:tc>
              <w:tc>
                <w:tcPr>
                  <w:tcW w:type="dxa" w:w="1100"/>
                  <w:tcBorders>
                    <w:top w:val="single" w:color="CCCCCC" w:sz="1"/>
                    <w:left w:val="single" w:color="CCCCCC" w:sz="1"/>
                    <w:bottom w:val="single" w:color="CCCCCC" w:sz="1"/>
                    <w:right w:val="single" w:color="CCCCCC" w:sz="1"/>
                  </w:tcBorders>
                  <w:tcMar>
                    <w:top w:type="dxa" w:w="20"/>
                    <w:left w:type="dxa" w:w="40"/>
                    <w:bottom w:type="dxa" w:w="20"/>
                    <w:right w:type="dxa" w:w="40"/>
                  </w:tcMar>
                </w:tcPr>
                <w:p>
                  <w:r>
                    <w:rPr>
                      <w:rFonts w:ascii="Calibri" w:cs="Calibri" w:eastAsia="Calibri" w:hAnsi="Calibri"/>
                      <w:color w:val="1A1A1A"/>
                      <w:sz w:val="16"/>
                      <w:szCs w:val="16"/>
                    </w:rPr>
                    <w:t xml:space="preserve">75.0%</w:t>
                  </w:r>
                </w:p>
              </w:tc>
              <w:tc>
                <w:tcPr>
                  <w:tcW w:type="dxa" w:w="1200"/>
                  <w:tcBorders>
                    <w:top w:val="single" w:color="CCCCCC" w:sz="1"/>
                    <w:left w:val="single" w:color="CCCCCC" w:sz="1"/>
                    <w:bottom w:val="single" w:color="CCCCCC" w:sz="1"/>
                    <w:right w:val="single" w:color="CCCCCC" w:sz="1"/>
                  </w:tcBorders>
                  <w:tcMar>
                    <w:top w:type="dxa" w:w="20"/>
                    <w:left w:type="dxa" w:w="40"/>
                    <w:bottom w:type="dxa" w:w="20"/>
                    <w:right w:type="dxa" w:w="40"/>
                  </w:tcMar>
                </w:tcPr>
                <w:p>
                  <w:r>
                    <w:rPr>
                      <w:rFonts w:ascii="Calibri" w:cs="Calibri" w:eastAsia="Calibri" w:hAnsi="Calibri"/>
                      <w:color w:val="1A1A1A"/>
                      <w:sz w:val="16"/>
                      <w:szCs w:val="16"/>
                    </w:rPr>
                    <w:t xml:space="preserve">25.0%</w:t>
                  </w:r>
                </w:p>
              </w:tc>
              <w:tc>
                <w:tcPr>
                  <w:tcW w:type="dxa" w:w="1400"/>
                  <w:tcBorders>
                    <w:top w:val="single" w:color="CCCCCC" w:sz="1"/>
                    <w:left w:val="single" w:color="CCCCCC" w:sz="1"/>
                    <w:bottom w:val="single" w:color="CCCCCC" w:sz="1"/>
                    <w:right w:val="single" w:color="CCCCCC" w:sz="1"/>
                  </w:tcBorders>
                  <w:tcMar>
                    <w:top w:type="dxa" w:w="20"/>
                    <w:left w:type="dxa" w:w="40"/>
                    <w:bottom w:type="dxa" w:w="20"/>
                    <w:right w:type="dxa" w:w="40"/>
                  </w:tcMar>
                </w:tcPr>
                <w:p>
                  <w:r>
                    <w:rPr>
                      <w:rFonts w:ascii="Calibri" w:cs="Calibri" w:eastAsia="Calibri" w:hAnsi="Calibri"/>
                      <w:color w:val="1A1A1A"/>
                      <w:sz w:val="16"/>
                      <w:szCs w:val="16"/>
                    </w:rPr>
                    <w:t xml:space="preserve">Ja / Yes</w:t>
                  </w:r>
                </w:p>
              </w:tc>
            </w:tr>
            <w:tr>
              <w:tc>
                <w:tcPr>
                  <w:tcW w:type="dxa" w:w="900"/>
                  <w:tcBorders>
                    <w:top w:val="single" w:color="CCCCCC" w:sz="1"/>
                    <w:left w:val="single" w:color="CCCCCC" w:sz="1"/>
                    <w:bottom w:val="single" w:color="CCCCCC" w:sz="1"/>
                    <w:right w:val="single" w:color="CCCCCC" w:sz="1"/>
                  </w:tcBorders>
                  <w:tcMar>
                    <w:top w:type="dxa" w:w="20"/>
                    <w:left w:type="dxa" w:w="40"/>
                    <w:bottom w:type="dxa" w:w="20"/>
                    <w:right w:type="dxa" w:w="40"/>
                  </w:tcMar>
                </w:tcPr>
                <w:p>
                  <w:r>
                    <w:rPr>
                      <w:rFonts w:ascii="Calibri" w:cs="Calibri" w:eastAsia="Calibri" w:hAnsi="Calibri"/>
                      <w:color w:val="1A1A1A"/>
                      <w:sz w:val="16"/>
                      <w:szCs w:val="16"/>
                    </w:rPr>
                    <w:t xml:space="preserve">42</w:t>
                  </w:r>
                </w:p>
              </w:tc>
              <w:tc>
                <w:tcPr>
                  <w:tcW w:type="dxa" w:w="1100"/>
                  <w:tcBorders>
                    <w:top w:val="single" w:color="CCCCCC" w:sz="1"/>
                    <w:left w:val="single" w:color="CCCCCC" w:sz="1"/>
                    <w:bottom w:val="single" w:color="CCCCCC" w:sz="1"/>
                    <w:right w:val="single" w:color="CCCCCC" w:sz="1"/>
                  </w:tcBorders>
                  <w:tcMar>
                    <w:top w:type="dxa" w:w="20"/>
                    <w:left w:type="dxa" w:w="40"/>
                    <w:bottom w:type="dxa" w:w="20"/>
                    <w:right w:type="dxa" w:w="40"/>
                  </w:tcMar>
                </w:tcPr>
                <w:p>
                  <w:r>
                    <w:rPr>
                      <w:rFonts w:ascii="Calibri" w:cs="Calibri" w:eastAsia="Calibri" w:hAnsi="Calibri"/>
                      <w:color w:val="1A1A1A"/>
                      <w:sz w:val="16"/>
                      <w:szCs w:val="16"/>
                    </w:rPr>
                    <w:t xml:space="preserve">91.7%</w:t>
                  </w:r>
                </w:p>
              </w:tc>
              <w:tc>
                <w:tcPr>
                  <w:tcW w:type="dxa" w:w="1200"/>
                  <w:tcBorders>
                    <w:top w:val="single" w:color="CCCCCC" w:sz="1"/>
                    <w:left w:val="single" w:color="CCCCCC" w:sz="1"/>
                    <w:bottom w:val="single" w:color="CCCCCC" w:sz="1"/>
                    <w:right w:val="single" w:color="CCCCCC" w:sz="1"/>
                  </w:tcBorders>
                  <w:tcMar>
                    <w:top w:type="dxa" w:w="20"/>
                    <w:left w:type="dxa" w:w="40"/>
                    <w:bottom w:type="dxa" w:w="20"/>
                    <w:right w:type="dxa" w:w="40"/>
                  </w:tcMar>
                </w:tcPr>
                <w:p>
                  <w:r>
                    <w:rPr>
                      <w:rFonts w:ascii="Calibri" w:cs="Calibri" w:eastAsia="Calibri" w:hAnsi="Calibri"/>
                      <w:color w:val="1A1A1A"/>
                      <w:sz w:val="16"/>
                      <w:szCs w:val="16"/>
                    </w:rPr>
                    <w:t xml:space="preserve">8.3%</w:t>
                  </w:r>
                </w:p>
              </w:tc>
              <w:tc>
                <w:tcPr>
                  <w:tcW w:type="dxa" w:w="1400"/>
                  <w:tcBorders>
                    <w:top w:val="single" w:color="CCCCCC" w:sz="1"/>
                    <w:left w:val="single" w:color="CCCCCC" w:sz="1"/>
                    <w:bottom w:val="single" w:color="CCCCCC" w:sz="1"/>
                    <w:right w:val="single" w:color="CCCCCC" w:sz="1"/>
                  </w:tcBorders>
                  <w:tcMar>
                    <w:top w:type="dxa" w:w="20"/>
                    <w:left w:type="dxa" w:w="40"/>
                    <w:bottom w:type="dxa" w:w="20"/>
                    <w:right w:type="dxa" w:w="40"/>
                  </w:tcMar>
                </w:tcPr>
                <w:p>
                  <w:r>
                    <w:rPr>
                      <w:rFonts w:ascii="Calibri" w:cs="Calibri" w:eastAsia="Calibri" w:hAnsi="Calibri"/>
                      <w:color w:val="1A1A1A"/>
                      <w:sz w:val="16"/>
                      <w:szCs w:val="16"/>
                    </w:rPr>
                    <w:t xml:space="preserve">Ja / Yes</w:t>
                  </w:r>
                </w:p>
              </w:tc>
            </w:tr>
            <w:tr>
              <w:tc>
                <w:tcPr>
                  <w:tcW w:type="dxa" w:w="900"/>
                  <w:tcBorders>
                    <w:top w:val="single" w:color="CCCCCC" w:sz="1"/>
                    <w:left w:val="single" w:color="CCCCCC" w:sz="1"/>
                    <w:bottom w:val="single" w:color="CCCCCC" w:sz="1"/>
                    <w:right w:val="single" w:color="CCCCCC" w:sz="1"/>
                  </w:tcBorders>
                  <w:tcMar>
                    <w:top w:type="dxa" w:w="20"/>
                    <w:left w:type="dxa" w:w="40"/>
                    <w:bottom w:type="dxa" w:w="20"/>
                    <w:right w:type="dxa" w:w="40"/>
                  </w:tcMar>
                </w:tcPr>
                <w:p>
                  <w:r>
                    <w:rPr>
                      <w:rFonts w:ascii="Calibri" w:cs="Calibri" w:eastAsia="Calibri" w:hAnsi="Calibri"/>
                      <w:color w:val="1A1A1A"/>
                      <w:sz w:val="16"/>
                      <w:szCs w:val="16"/>
                    </w:rPr>
                    <w:t xml:space="preserve">48</w:t>
                  </w:r>
                </w:p>
              </w:tc>
              <w:tc>
                <w:tcPr>
                  <w:tcW w:type="dxa" w:w="1100"/>
                  <w:tcBorders>
                    <w:top w:val="single" w:color="CCCCCC" w:sz="1"/>
                    <w:left w:val="single" w:color="CCCCCC" w:sz="1"/>
                    <w:bottom w:val="single" w:color="CCCCCC" w:sz="1"/>
                    <w:right w:val="single" w:color="CCCCCC" w:sz="1"/>
                  </w:tcBorders>
                  <w:tcMar>
                    <w:top w:type="dxa" w:w="20"/>
                    <w:left w:type="dxa" w:w="40"/>
                    <w:bottom w:type="dxa" w:w="20"/>
                    <w:right w:type="dxa" w:w="40"/>
                  </w:tcMar>
                </w:tcPr>
                <w:p>
                  <w:r>
                    <w:rPr>
                      <w:rFonts w:ascii="Calibri" w:cs="Calibri" w:eastAsia="Calibri" w:hAnsi="Calibri"/>
                      <w:color w:val="1A1A1A"/>
                      <w:sz w:val="16"/>
                      <w:szCs w:val="16"/>
                    </w:rPr>
                    <w:t xml:space="preserve">100%</w:t>
                  </w:r>
                </w:p>
              </w:tc>
              <w:tc>
                <w:tcPr>
                  <w:tcW w:type="dxa" w:w="1200"/>
                  <w:tcBorders>
                    <w:top w:val="single" w:color="CCCCCC" w:sz="1"/>
                    <w:left w:val="single" w:color="CCCCCC" w:sz="1"/>
                    <w:bottom w:val="single" w:color="CCCCCC" w:sz="1"/>
                    <w:right w:val="single" w:color="CCCCCC" w:sz="1"/>
                  </w:tcBorders>
                  <w:tcMar>
                    <w:top w:type="dxa" w:w="20"/>
                    <w:left w:type="dxa" w:w="40"/>
                    <w:bottom w:type="dxa" w:w="20"/>
                    <w:right w:type="dxa" w:w="40"/>
                  </w:tcMar>
                </w:tcPr>
                <w:p>
                  <w:r>
                    <w:rPr>
                      <w:rFonts w:ascii="Calibri" w:cs="Calibri" w:eastAsia="Calibri" w:hAnsi="Calibri"/>
                      <w:color w:val="1A1A1A"/>
                      <w:sz w:val="16"/>
                      <w:szCs w:val="16"/>
                    </w:rPr>
                    <w:t xml:space="preserve">0%</w:t>
                  </w:r>
                </w:p>
              </w:tc>
              <w:tc>
                <w:tcPr>
                  <w:tcW w:type="dxa" w:w="1400"/>
                  <w:tcBorders>
                    <w:top w:val="single" w:color="CCCCCC" w:sz="1"/>
                    <w:left w:val="single" w:color="CCCCCC" w:sz="1"/>
                    <w:bottom w:val="single" w:color="CCCCCC" w:sz="1"/>
                    <w:right w:val="single" w:color="CCCCCC" w:sz="1"/>
                  </w:tcBorders>
                  <w:tcMar>
                    <w:top w:type="dxa" w:w="20"/>
                    <w:left w:type="dxa" w:w="40"/>
                    <w:bottom w:type="dxa" w:w="20"/>
                    <w:right w:type="dxa" w:w="40"/>
                  </w:tcMar>
                </w:tcPr>
                <w:p>
                  <w:r>
                    <w:rPr>
                      <w:rFonts w:ascii="Calibri" w:cs="Calibri" w:eastAsia="Calibri" w:hAnsi="Calibri"/>
                      <w:color w:val="1A1A1A"/>
                      <w:sz w:val="16"/>
                      <w:szCs w:val="16"/>
                    </w:rPr>
                    <w:t xml:space="preserve">N/A</w:t>
                  </w:r>
                </w:p>
              </w:tc>
            </w:tr>
          </w:tbl>
          <w:p>
            <w:pPr>
              <w:spacing w:before="80"/>
            </w:pPr>
          </w:p>
          <w:p>
            <w:pPr>
              <w:spacing w:after="60"/>
            </w:pPr>
            <w:r>
              <w:rPr>
                <w:rFonts w:ascii="Calibri" w:cs="Calibri" w:eastAsia="Calibri" w:hAnsi="Calibri"/>
                <w:b w:val="false"/>
                <w:bCs w:val="false"/>
                <w:i w:val="false"/>
                <w:iCs w:val="false"/>
                <w:color w:val="1A1A1A"/>
                <w:sz w:val="20"/>
                <w:szCs w:val="20"/>
              </w:rPr>
              <w:t xml:space="preserve">Ved måned 18: 25 % er vested normalt (cliff). 75 % akselererer = alle 562 500 aksjer fullt vested.</w:t>
            </w:r>
          </w:p>
          <w:p>
            <w:pPr>
              <w:spacing w:after="60"/>
            </w:pPr>
            <w:r>
              <w:rPr>
                <w:rFonts w:ascii="Calibri" w:cs="Calibri" w:eastAsia="Calibri" w:hAnsi="Calibri"/>
                <w:b w:val="false"/>
                <w:bCs w:val="false"/>
                <w:i w:val="false"/>
                <w:iCs w:val="false"/>
                <w:color w:val="1A1A1A"/>
                <w:sz w:val="20"/>
                <w:szCs w:val="20"/>
              </w:rPr>
              <w:t xml:space="preserve">Ved måned 48: Alle aksjer er allerede fullt vested. Akselerasjon er uten praktisk betydning.</w:t>
            </w:r>
          </w:p>
        </w:tc>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100"/>
            </w:pPr>
            <w:r>
              <w:rPr>
                <w:rFonts w:ascii="Calibri" w:cs="Calibri" w:eastAsia="Calibri" w:hAnsi="Calibri"/>
                <w:b w:val="false"/>
                <w:bCs w:val="false"/>
                <w:i w:val="false"/>
                <w:iCs w:val="false"/>
                <w:color w:val="1A1A1A"/>
                <w:sz w:val="20"/>
                <w:szCs w:val="20"/>
              </w:rPr>
              <w:t xml:space="preserve">Scenario: Sale + Qualifying Termination (both triggers satisfied):</w:t>
            </w:r>
          </w:p>
          <w:tbl>
            <w:tblPr>
              <w:tblW w:type="dxa" w:w="4600"/>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1200"/>
              <w:gridCol w:w="1400"/>
            </w:tblGrid>
            <w:tr>
              <w:tc>
                <w:tcPr>
                  <w:tcW w:type="dxa" w:w="900"/>
                  <w:tcBorders>
                    <w:top w:val="single" w:color="CCCCCC" w:sz="1"/>
                    <w:left w:val="single" w:color="CCCCCC" w:sz="1"/>
                    <w:bottom w:val="single" w:color="CCCCCC" w:sz="1"/>
                    <w:right w:val="single" w:color="CCCCCC" w:sz="1"/>
                  </w:tcBorders>
                  <w:shd w:fill="D5E8F0" w:val="clear"/>
                  <w:tcMar>
                    <w:top w:type="dxa" w:w="30"/>
                    <w:left w:type="dxa" w:w="40"/>
                    <w:bottom w:type="dxa" w:w="30"/>
                    <w:right w:type="dxa" w:w="40"/>
                  </w:tcMar>
                </w:tcPr>
                <w:p>
                  <w:r>
                    <w:rPr>
                      <w:rFonts w:ascii="Calibri" w:cs="Calibri" w:eastAsia="Calibri" w:hAnsi="Calibri"/>
                      <w:b/>
                      <w:bCs/>
                      <w:color w:val="1A1A1A"/>
                      <w:sz w:val="16"/>
                      <w:szCs w:val="16"/>
                    </w:rPr>
                    <w:t xml:space="preserve">Mo.</w:t>
                  </w:r>
                </w:p>
              </w:tc>
              <w:tc>
                <w:tcPr>
                  <w:tcW w:type="dxa" w:w="1100"/>
                  <w:tcBorders>
                    <w:top w:val="single" w:color="CCCCCC" w:sz="1"/>
                    <w:left w:val="single" w:color="CCCCCC" w:sz="1"/>
                    <w:bottom w:val="single" w:color="CCCCCC" w:sz="1"/>
                    <w:right w:val="single" w:color="CCCCCC" w:sz="1"/>
                  </w:tcBorders>
                  <w:shd w:fill="D5E8F0" w:val="clear"/>
                  <w:tcMar>
                    <w:top w:type="dxa" w:w="30"/>
                    <w:left w:type="dxa" w:w="40"/>
                    <w:bottom w:type="dxa" w:w="30"/>
                    <w:right w:type="dxa" w:w="40"/>
                  </w:tcMar>
                </w:tcPr>
                <w:p>
                  <w:r>
                    <w:rPr>
                      <w:rFonts w:ascii="Calibri" w:cs="Calibri" w:eastAsia="Calibri" w:hAnsi="Calibri"/>
                      <w:b/>
                      <w:bCs/>
                      <w:color w:val="1A1A1A"/>
                      <w:sz w:val="16"/>
                      <w:szCs w:val="16"/>
                    </w:rPr>
                    <w:t xml:space="preserve">Vested %</w:t>
                  </w:r>
                </w:p>
              </w:tc>
              <w:tc>
                <w:tcPr>
                  <w:tcW w:type="dxa" w:w="1200"/>
                  <w:tcBorders>
                    <w:top w:val="single" w:color="CCCCCC" w:sz="1"/>
                    <w:left w:val="single" w:color="CCCCCC" w:sz="1"/>
                    <w:bottom w:val="single" w:color="CCCCCC" w:sz="1"/>
                    <w:right w:val="single" w:color="CCCCCC" w:sz="1"/>
                  </w:tcBorders>
                  <w:shd w:fill="D5E8F0" w:val="clear"/>
                  <w:tcMar>
                    <w:top w:type="dxa" w:w="30"/>
                    <w:left w:type="dxa" w:w="40"/>
                    <w:bottom w:type="dxa" w:w="30"/>
                    <w:right w:type="dxa" w:w="40"/>
                  </w:tcMar>
                </w:tcPr>
                <w:p>
                  <w:r>
                    <w:rPr>
                      <w:rFonts w:ascii="Calibri" w:cs="Calibri" w:eastAsia="Calibri" w:hAnsi="Calibri"/>
                      <w:b/>
                      <w:bCs/>
                      <w:color w:val="1A1A1A"/>
                      <w:sz w:val="16"/>
                      <w:szCs w:val="16"/>
                    </w:rPr>
                    <w:t xml:space="preserve">Unvested %</w:t>
                  </w:r>
                </w:p>
              </w:tc>
              <w:tc>
                <w:tcPr>
                  <w:tcW w:type="dxa" w:w="1400"/>
                  <w:tcBorders>
                    <w:top w:val="single" w:color="CCCCCC" w:sz="1"/>
                    <w:left w:val="single" w:color="CCCCCC" w:sz="1"/>
                    <w:bottom w:val="single" w:color="CCCCCC" w:sz="1"/>
                    <w:right w:val="single" w:color="CCCCCC" w:sz="1"/>
                  </w:tcBorders>
                  <w:shd w:fill="D5E8F0" w:val="clear"/>
                  <w:tcMar>
                    <w:top w:type="dxa" w:w="30"/>
                    <w:left w:type="dxa" w:w="40"/>
                    <w:bottom w:type="dxa" w:w="30"/>
                    <w:right w:type="dxa" w:w="40"/>
                  </w:tcMar>
                </w:tcPr>
                <w:p>
                  <w:r>
                    <w:rPr>
                      <w:rFonts w:ascii="Calibri" w:cs="Calibri" w:eastAsia="Calibri" w:hAnsi="Calibri"/>
                      <w:b/>
                      <w:bCs/>
                      <w:color w:val="1A1A1A"/>
                      <w:sz w:val="16"/>
                      <w:szCs w:val="16"/>
                    </w:rPr>
                    <w:t xml:space="preserve">Accelerated?</w:t>
                  </w:r>
                </w:p>
              </w:tc>
            </w:tr>
            <w:tr>
              <w:tc>
                <w:tcPr>
                  <w:tcW w:type="dxa" w:w="900"/>
                  <w:tcBorders>
                    <w:top w:val="single" w:color="CCCCCC" w:sz="1"/>
                    <w:left w:val="single" w:color="CCCCCC" w:sz="1"/>
                    <w:bottom w:val="single" w:color="CCCCCC" w:sz="1"/>
                    <w:right w:val="single" w:color="CCCCCC" w:sz="1"/>
                  </w:tcBorders>
                  <w:tcMar>
                    <w:top w:type="dxa" w:w="20"/>
                    <w:left w:type="dxa" w:w="40"/>
                    <w:bottom w:type="dxa" w:w="20"/>
                    <w:right w:type="dxa" w:w="40"/>
                  </w:tcMar>
                </w:tcPr>
                <w:p>
                  <w:r>
                    <w:rPr>
                      <w:rFonts w:ascii="Calibri" w:cs="Calibri" w:eastAsia="Calibri" w:hAnsi="Calibri"/>
                      <w:color w:val="1A1A1A"/>
                      <w:sz w:val="16"/>
                      <w:szCs w:val="16"/>
                    </w:rPr>
                    <w:t xml:space="preserve">18</w:t>
                  </w:r>
                </w:p>
              </w:tc>
              <w:tc>
                <w:tcPr>
                  <w:tcW w:type="dxa" w:w="1100"/>
                  <w:tcBorders>
                    <w:top w:val="single" w:color="CCCCCC" w:sz="1"/>
                    <w:left w:val="single" w:color="CCCCCC" w:sz="1"/>
                    <w:bottom w:val="single" w:color="CCCCCC" w:sz="1"/>
                    <w:right w:val="single" w:color="CCCCCC" w:sz="1"/>
                  </w:tcBorders>
                  <w:tcMar>
                    <w:top w:type="dxa" w:w="20"/>
                    <w:left w:type="dxa" w:w="40"/>
                    <w:bottom w:type="dxa" w:w="20"/>
                    <w:right w:type="dxa" w:w="40"/>
                  </w:tcMar>
                </w:tcPr>
                <w:p>
                  <w:r>
                    <w:rPr>
                      <w:rFonts w:ascii="Calibri" w:cs="Calibri" w:eastAsia="Calibri" w:hAnsi="Calibri"/>
                      <w:color w:val="1A1A1A"/>
                      <w:sz w:val="16"/>
                      <w:szCs w:val="16"/>
                    </w:rPr>
                    <w:t xml:space="preserve">25.0%</w:t>
                  </w:r>
                </w:p>
              </w:tc>
              <w:tc>
                <w:tcPr>
                  <w:tcW w:type="dxa" w:w="1200"/>
                  <w:tcBorders>
                    <w:top w:val="single" w:color="CCCCCC" w:sz="1"/>
                    <w:left w:val="single" w:color="CCCCCC" w:sz="1"/>
                    <w:bottom w:val="single" w:color="CCCCCC" w:sz="1"/>
                    <w:right w:val="single" w:color="CCCCCC" w:sz="1"/>
                  </w:tcBorders>
                  <w:tcMar>
                    <w:top w:type="dxa" w:w="20"/>
                    <w:left w:type="dxa" w:w="40"/>
                    <w:bottom w:type="dxa" w:w="20"/>
                    <w:right w:type="dxa" w:w="40"/>
                  </w:tcMar>
                </w:tcPr>
                <w:p>
                  <w:r>
                    <w:rPr>
                      <w:rFonts w:ascii="Calibri" w:cs="Calibri" w:eastAsia="Calibri" w:hAnsi="Calibri"/>
                      <w:color w:val="1A1A1A"/>
                      <w:sz w:val="16"/>
                      <w:szCs w:val="16"/>
                    </w:rPr>
                    <w:t xml:space="preserve">75.0%</w:t>
                  </w:r>
                </w:p>
              </w:tc>
              <w:tc>
                <w:tcPr>
                  <w:tcW w:type="dxa" w:w="1400"/>
                  <w:tcBorders>
                    <w:top w:val="single" w:color="CCCCCC" w:sz="1"/>
                    <w:left w:val="single" w:color="CCCCCC" w:sz="1"/>
                    <w:bottom w:val="single" w:color="CCCCCC" w:sz="1"/>
                    <w:right w:val="single" w:color="CCCCCC" w:sz="1"/>
                  </w:tcBorders>
                  <w:tcMar>
                    <w:top w:type="dxa" w:w="20"/>
                    <w:left w:type="dxa" w:w="40"/>
                    <w:bottom w:type="dxa" w:w="20"/>
                    <w:right w:type="dxa" w:w="40"/>
                  </w:tcMar>
                </w:tcPr>
                <w:p>
                  <w:r>
                    <w:rPr>
                      <w:rFonts w:ascii="Calibri" w:cs="Calibri" w:eastAsia="Calibri" w:hAnsi="Calibri"/>
                      <w:color w:val="1A1A1A"/>
                      <w:sz w:val="16"/>
                      <w:szCs w:val="16"/>
                    </w:rPr>
                    <w:t xml:space="preserve">Ja / Yes</w:t>
                  </w:r>
                </w:p>
              </w:tc>
            </w:tr>
            <w:tr>
              <w:tc>
                <w:tcPr>
                  <w:tcW w:type="dxa" w:w="900"/>
                  <w:tcBorders>
                    <w:top w:val="single" w:color="CCCCCC" w:sz="1"/>
                    <w:left w:val="single" w:color="CCCCCC" w:sz="1"/>
                    <w:bottom w:val="single" w:color="CCCCCC" w:sz="1"/>
                    <w:right w:val="single" w:color="CCCCCC" w:sz="1"/>
                  </w:tcBorders>
                  <w:tcMar>
                    <w:top w:type="dxa" w:w="20"/>
                    <w:left w:type="dxa" w:w="40"/>
                    <w:bottom w:type="dxa" w:w="20"/>
                    <w:right w:type="dxa" w:w="40"/>
                  </w:tcMar>
                </w:tcPr>
                <w:p>
                  <w:r>
                    <w:rPr>
                      <w:rFonts w:ascii="Calibri" w:cs="Calibri" w:eastAsia="Calibri" w:hAnsi="Calibri"/>
                      <w:color w:val="1A1A1A"/>
                      <w:sz w:val="16"/>
                      <w:szCs w:val="16"/>
                    </w:rPr>
                    <w:t xml:space="preserve">24</w:t>
                  </w:r>
                </w:p>
              </w:tc>
              <w:tc>
                <w:tcPr>
                  <w:tcW w:type="dxa" w:w="1100"/>
                  <w:tcBorders>
                    <w:top w:val="single" w:color="CCCCCC" w:sz="1"/>
                    <w:left w:val="single" w:color="CCCCCC" w:sz="1"/>
                    <w:bottom w:val="single" w:color="CCCCCC" w:sz="1"/>
                    <w:right w:val="single" w:color="CCCCCC" w:sz="1"/>
                  </w:tcBorders>
                  <w:tcMar>
                    <w:top w:type="dxa" w:w="20"/>
                    <w:left w:type="dxa" w:w="40"/>
                    <w:bottom w:type="dxa" w:w="20"/>
                    <w:right w:type="dxa" w:w="40"/>
                  </w:tcMar>
                </w:tcPr>
                <w:p>
                  <w:r>
                    <w:rPr>
                      <w:rFonts w:ascii="Calibri" w:cs="Calibri" w:eastAsia="Calibri" w:hAnsi="Calibri"/>
                      <w:color w:val="1A1A1A"/>
                      <w:sz w:val="16"/>
                      <w:szCs w:val="16"/>
                    </w:rPr>
                    <w:t xml:space="preserve">41.7%</w:t>
                  </w:r>
                </w:p>
              </w:tc>
              <w:tc>
                <w:tcPr>
                  <w:tcW w:type="dxa" w:w="1200"/>
                  <w:tcBorders>
                    <w:top w:val="single" w:color="CCCCCC" w:sz="1"/>
                    <w:left w:val="single" w:color="CCCCCC" w:sz="1"/>
                    <w:bottom w:val="single" w:color="CCCCCC" w:sz="1"/>
                    <w:right w:val="single" w:color="CCCCCC" w:sz="1"/>
                  </w:tcBorders>
                  <w:tcMar>
                    <w:top w:type="dxa" w:w="20"/>
                    <w:left w:type="dxa" w:w="40"/>
                    <w:bottom w:type="dxa" w:w="20"/>
                    <w:right w:type="dxa" w:w="40"/>
                  </w:tcMar>
                </w:tcPr>
                <w:p>
                  <w:r>
                    <w:rPr>
                      <w:rFonts w:ascii="Calibri" w:cs="Calibri" w:eastAsia="Calibri" w:hAnsi="Calibri"/>
                      <w:color w:val="1A1A1A"/>
                      <w:sz w:val="16"/>
                      <w:szCs w:val="16"/>
                    </w:rPr>
                    <w:t xml:space="preserve">58.3%</w:t>
                  </w:r>
                </w:p>
              </w:tc>
              <w:tc>
                <w:tcPr>
                  <w:tcW w:type="dxa" w:w="1400"/>
                  <w:tcBorders>
                    <w:top w:val="single" w:color="CCCCCC" w:sz="1"/>
                    <w:left w:val="single" w:color="CCCCCC" w:sz="1"/>
                    <w:bottom w:val="single" w:color="CCCCCC" w:sz="1"/>
                    <w:right w:val="single" w:color="CCCCCC" w:sz="1"/>
                  </w:tcBorders>
                  <w:tcMar>
                    <w:top w:type="dxa" w:w="20"/>
                    <w:left w:type="dxa" w:w="40"/>
                    <w:bottom w:type="dxa" w:w="20"/>
                    <w:right w:type="dxa" w:w="40"/>
                  </w:tcMar>
                </w:tcPr>
                <w:p>
                  <w:r>
                    <w:rPr>
                      <w:rFonts w:ascii="Calibri" w:cs="Calibri" w:eastAsia="Calibri" w:hAnsi="Calibri"/>
                      <w:color w:val="1A1A1A"/>
                      <w:sz w:val="16"/>
                      <w:szCs w:val="16"/>
                    </w:rPr>
                    <w:t xml:space="preserve">Ja / Yes</w:t>
                  </w:r>
                </w:p>
              </w:tc>
            </w:tr>
            <w:tr>
              <w:tc>
                <w:tcPr>
                  <w:tcW w:type="dxa" w:w="900"/>
                  <w:tcBorders>
                    <w:top w:val="single" w:color="CCCCCC" w:sz="1"/>
                    <w:left w:val="single" w:color="CCCCCC" w:sz="1"/>
                    <w:bottom w:val="single" w:color="CCCCCC" w:sz="1"/>
                    <w:right w:val="single" w:color="CCCCCC" w:sz="1"/>
                  </w:tcBorders>
                  <w:tcMar>
                    <w:top w:type="dxa" w:w="20"/>
                    <w:left w:type="dxa" w:w="40"/>
                    <w:bottom w:type="dxa" w:w="20"/>
                    <w:right w:type="dxa" w:w="40"/>
                  </w:tcMar>
                </w:tcPr>
                <w:p>
                  <w:r>
                    <w:rPr>
                      <w:rFonts w:ascii="Calibri" w:cs="Calibri" w:eastAsia="Calibri" w:hAnsi="Calibri"/>
                      <w:color w:val="1A1A1A"/>
                      <w:sz w:val="16"/>
                      <w:szCs w:val="16"/>
                    </w:rPr>
                    <w:t xml:space="preserve">30</w:t>
                  </w:r>
                </w:p>
              </w:tc>
              <w:tc>
                <w:tcPr>
                  <w:tcW w:type="dxa" w:w="1100"/>
                  <w:tcBorders>
                    <w:top w:val="single" w:color="CCCCCC" w:sz="1"/>
                    <w:left w:val="single" w:color="CCCCCC" w:sz="1"/>
                    <w:bottom w:val="single" w:color="CCCCCC" w:sz="1"/>
                    <w:right w:val="single" w:color="CCCCCC" w:sz="1"/>
                  </w:tcBorders>
                  <w:tcMar>
                    <w:top w:type="dxa" w:w="20"/>
                    <w:left w:type="dxa" w:w="40"/>
                    <w:bottom w:type="dxa" w:w="20"/>
                    <w:right w:type="dxa" w:w="40"/>
                  </w:tcMar>
                </w:tcPr>
                <w:p>
                  <w:r>
                    <w:rPr>
                      <w:rFonts w:ascii="Calibri" w:cs="Calibri" w:eastAsia="Calibri" w:hAnsi="Calibri"/>
                      <w:color w:val="1A1A1A"/>
                      <w:sz w:val="16"/>
                      <w:szCs w:val="16"/>
                    </w:rPr>
                    <w:t xml:space="preserve">58.3%</w:t>
                  </w:r>
                </w:p>
              </w:tc>
              <w:tc>
                <w:tcPr>
                  <w:tcW w:type="dxa" w:w="1200"/>
                  <w:tcBorders>
                    <w:top w:val="single" w:color="CCCCCC" w:sz="1"/>
                    <w:left w:val="single" w:color="CCCCCC" w:sz="1"/>
                    <w:bottom w:val="single" w:color="CCCCCC" w:sz="1"/>
                    <w:right w:val="single" w:color="CCCCCC" w:sz="1"/>
                  </w:tcBorders>
                  <w:tcMar>
                    <w:top w:type="dxa" w:w="20"/>
                    <w:left w:type="dxa" w:w="40"/>
                    <w:bottom w:type="dxa" w:w="20"/>
                    <w:right w:type="dxa" w:w="40"/>
                  </w:tcMar>
                </w:tcPr>
                <w:p>
                  <w:r>
                    <w:rPr>
                      <w:rFonts w:ascii="Calibri" w:cs="Calibri" w:eastAsia="Calibri" w:hAnsi="Calibri"/>
                      <w:color w:val="1A1A1A"/>
                      <w:sz w:val="16"/>
                      <w:szCs w:val="16"/>
                    </w:rPr>
                    <w:t xml:space="preserve">41.7%</w:t>
                  </w:r>
                </w:p>
              </w:tc>
              <w:tc>
                <w:tcPr>
                  <w:tcW w:type="dxa" w:w="1400"/>
                  <w:tcBorders>
                    <w:top w:val="single" w:color="CCCCCC" w:sz="1"/>
                    <w:left w:val="single" w:color="CCCCCC" w:sz="1"/>
                    <w:bottom w:val="single" w:color="CCCCCC" w:sz="1"/>
                    <w:right w:val="single" w:color="CCCCCC" w:sz="1"/>
                  </w:tcBorders>
                  <w:tcMar>
                    <w:top w:type="dxa" w:w="20"/>
                    <w:left w:type="dxa" w:w="40"/>
                    <w:bottom w:type="dxa" w:w="20"/>
                    <w:right w:type="dxa" w:w="40"/>
                  </w:tcMar>
                </w:tcPr>
                <w:p>
                  <w:r>
                    <w:rPr>
                      <w:rFonts w:ascii="Calibri" w:cs="Calibri" w:eastAsia="Calibri" w:hAnsi="Calibri"/>
                      <w:color w:val="1A1A1A"/>
                      <w:sz w:val="16"/>
                      <w:szCs w:val="16"/>
                    </w:rPr>
                    <w:t xml:space="preserve">Ja / Yes</w:t>
                  </w:r>
                </w:p>
              </w:tc>
            </w:tr>
            <w:tr>
              <w:tc>
                <w:tcPr>
                  <w:tcW w:type="dxa" w:w="900"/>
                  <w:tcBorders>
                    <w:top w:val="single" w:color="CCCCCC" w:sz="1"/>
                    <w:left w:val="single" w:color="CCCCCC" w:sz="1"/>
                    <w:bottom w:val="single" w:color="CCCCCC" w:sz="1"/>
                    <w:right w:val="single" w:color="CCCCCC" w:sz="1"/>
                  </w:tcBorders>
                  <w:tcMar>
                    <w:top w:type="dxa" w:w="20"/>
                    <w:left w:type="dxa" w:w="40"/>
                    <w:bottom w:type="dxa" w:w="20"/>
                    <w:right w:type="dxa" w:w="40"/>
                  </w:tcMar>
                </w:tcPr>
                <w:p>
                  <w:r>
                    <w:rPr>
                      <w:rFonts w:ascii="Calibri" w:cs="Calibri" w:eastAsia="Calibri" w:hAnsi="Calibri"/>
                      <w:color w:val="1A1A1A"/>
                      <w:sz w:val="16"/>
                      <w:szCs w:val="16"/>
                    </w:rPr>
                    <w:t xml:space="preserve">36</w:t>
                  </w:r>
                </w:p>
              </w:tc>
              <w:tc>
                <w:tcPr>
                  <w:tcW w:type="dxa" w:w="1100"/>
                  <w:tcBorders>
                    <w:top w:val="single" w:color="CCCCCC" w:sz="1"/>
                    <w:left w:val="single" w:color="CCCCCC" w:sz="1"/>
                    <w:bottom w:val="single" w:color="CCCCCC" w:sz="1"/>
                    <w:right w:val="single" w:color="CCCCCC" w:sz="1"/>
                  </w:tcBorders>
                  <w:tcMar>
                    <w:top w:type="dxa" w:w="20"/>
                    <w:left w:type="dxa" w:w="40"/>
                    <w:bottom w:type="dxa" w:w="20"/>
                    <w:right w:type="dxa" w:w="40"/>
                  </w:tcMar>
                </w:tcPr>
                <w:p>
                  <w:r>
                    <w:rPr>
                      <w:rFonts w:ascii="Calibri" w:cs="Calibri" w:eastAsia="Calibri" w:hAnsi="Calibri"/>
                      <w:color w:val="1A1A1A"/>
                      <w:sz w:val="16"/>
                      <w:szCs w:val="16"/>
                    </w:rPr>
                    <w:t xml:space="preserve">75.0%</w:t>
                  </w:r>
                </w:p>
              </w:tc>
              <w:tc>
                <w:tcPr>
                  <w:tcW w:type="dxa" w:w="1200"/>
                  <w:tcBorders>
                    <w:top w:val="single" w:color="CCCCCC" w:sz="1"/>
                    <w:left w:val="single" w:color="CCCCCC" w:sz="1"/>
                    <w:bottom w:val="single" w:color="CCCCCC" w:sz="1"/>
                    <w:right w:val="single" w:color="CCCCCC" w:sz="1"/>
                  </w:tcBorders>
                  <w:tcMar>
                    <w:top w:type="dxa" w:w="20"/>
                    <w:left w:type="dxa" w:w="40"/>
                    <w:bottom w:type="dxa" w:w="20"/>
                    <w:right w:type="dxa" w:w="40"/>
                  </w:tcMar>
                </w:tcPr>
                <w:p>
                  <w:r>
                    <w:rPr>
                      <w:rFonts w:ascii="Calibri" w:cs="Calibri" w:eastAsia="Calibri" w:hAnsi="Calibri"/>
                      <w:color w:val="1A1A1A"/>
                      <w:sz w:val="16"/>
                      <w:szCs w:val="16"/>
                    </w:rPr>
                    <w:t xml:space="preserve">25.0%</w:t>
                  </w:r>
                </w:p>
              </w:tc>
              <w:tc>
                <w:tcPr>
                  <w:tcW w:type="dxa" w:w="1400"/>
                  <w:tcBorders>
                    <w:top w:val="single" w:color="CCCCCC" w:sz="1"/>
                    <w:left w:val="single" w:color="CCCCCC" w:sz="1"/>
                    <w:bottom w:val="single" w:color="CCCCCC" w:sz="1"/>
                    <w:right w:val="single" w:color="CCCCCC" w:sz="1"/>
                  </w:tcBorders>
                  <w:tcMar>
                    <w:top w:type="dxa" w:w="20"/>
                    <w:left w:type="dxa" w:w="40"/>
                    <w:bottom w:type="dxa" w:w="20"/>
                    <w:right w:type="dxa" w:w="40"/>
                  </w:tcMar>
                </w:tcPr>
                <w:p>
                  <w:r>
                    <w:rPr>
                      <w:rFonts w:ascii="Calibri" w:cs="Calibri" w:eastAsia="Calibri" w:hAnsi="Calibri"/>
                      <w:color w:val="1A1A1A"/>
                      <w:sz w:val="16"/>
                      <w:szCs w:val="16"/>
                    </w:rPr>
                    <w:t xml:space="preserve">Ja / Yes</w:t>
                  </w:r>
                </w:p>
              </w:tc>
            </w:tr>
            <w:tr>
              <w:tc>
                <w:tcPr>
                  <w:tcW w:type="dxa" w:w="900"/>
                  <w:tcBorders>
                    <w:top w:val="single" w:color="CCCCCC" w:sz="1"/>
                    <w:left w:val="single" w:color="CCCCCC" w:sz="1"/>
                    <w:bottom w:val="single" w:color="CCCCCC" w:sz="1"/>
                    <w:right w:val="single" w:color="CCCCCC" w:sz="1"/>
                  </w:tcBorders>
                  <w:tcMar>
                    <w:top w:type="dxa" w:w="20"/>
                    <w:left w:type="dxa" w:w="40"/>
                    <w:bottom w:type="dxa" w:w="20"/>
                    <w:right w:type="dxa" w:w="40"/>
                  </w:tcMar>
                </w:tcPr>
                <w:p>
                  <w:r>
                    <w:rPr>
                      <w:rFonts w:ascii="Calibri" w:cs="Calibri" w:eastAsia="Calibri" w:hAnsi="Calibri"/>
                      <w:color w:val="1A1A1A"/>
                      <w:sz w:val="16"/>
                      <w:szCs w:val="16"/>
                    </w:rPr>
                    <w:t xml:space="preserve">42</w:t>
                  </w:r>
                </w:p>
              </w:tc>
              <w:tc>
                <w:tcPr>
                  <w:tcW w:type="dxa" w:w="1100"/>
                  <w:tcBorders>
                    <w:top w:val="single" w:color="CCCCCC" w:sz="1"/>
                    <w:left w:val="single" w:color="CCCCCC" w:sz="1"/>
                    <w:bottom w:val="single" w:color="CCCCCC" w:sz="1"/>
                    <w:right w:val="single" w:color="CCCCCC" w:sz="1"/>
                  </w:tcBorders>
                  <w:tcMar>
                    <w:top w:type="dxa" w:w="20"/>
                    <w:left w:type="dxa" w:w="40"/>
                    <w:bottom w:type="dxa" w:w="20"/>
                    <w:right w:type="dxa" w:w="40"/>
                  </w:tcMar>
                </w:tcPr>
                <w:p>
                  <w:r>
                    <w:rPr>
                      <w:rFonts w:ascii="Calibri" w:cs="Calibri" w:eastAsia="Calibri" w:hAnsi="Calibri"/>
                      <w:color w:val="1A1A1A"/>
                      <w:sz w:val="16"/>
                      <w:szCs w:val="16"/>
                    </w:rPr>
                    <w:t xml:space="preserve">91.7%</w:t>
                  </w:r>
                </w:p>
              </w:tc>
              <w:tc>
                <w:tcPr>
                  <w:tcW w:type="dxa" w:w="1200"/>
                  <w:tcBorders>
                    <w:top w:val="single" w:color="CCCCCC" w:sz="1"/>
                    <w:left w:val="single" w:color="CCCCCC" w:sz="1"/>
                    <w:bottom w:val="single" w:color="CCCCCC" w:sz="1"/>
                    <w:right w:val="single" w:color="CCCCCC" w:sz="1"/>
                  </w:tcBorders>
                  <w:tcMar>
                    <w:top w:type="dxa" w:w="20"/>
                    <w:left w:type="dxa" w:w="40"/>
                    <w:bottom w:type="dxa" w:w="20"/>
                    <w:right w:type="dxa" w:w="40"/>
                  </w:tcMar>
                </w:tcPr>
                <w:p>
                  <w:r>
                    <w:rPr>
                      <w:rFonts w:ascii="Calibri" w:cs="Calibri" w:eastAsia="Calibri" w:hAnsi="Calibri"/>
                      <w:color w:val="1A1A1A"/>
                      <w:sz w:val="16"/>
                      <w:szCs w:val="16"/>
                    </w:rPr>
                    <w:t xml:space="preserve">8.3%</w:t>
                  </w:r>
                </w:p>
              </w:tc>
              <w:tc>
                <w:tcPr>
                  <w:tcW w:type="dxa" w:w="1400"/>
                  <w:tcBorders>
                    <w:top w:val="single" w:color="CCCCCC" w:sz="1"/>
                    <w:left w:val="single" w:color="CCCCCC" w:sz="1"/>
                    <w:bottom w:val="single" w:color="CCCCCC" w:sz="1"/>
                    <w:right w:val="single" w:color="CCCCCC" w:sz="1"/>
                  </w:tcBorders>
                  <w:tcMar>
                    <w:top w:type="dxa" w:w="20"/>
                    <w:left w:type="dxa" w:w="40"/>
                    <w:bottom w:type="dxa" w:w="20"/>
                    <w:right w:type="dxa" w:w="40"/>
                  </w:tcMar>
                </w:tcPr>
                <w:p>
                  <w:r>
                    <w:rPr>
                      <w:rFonts w:ascii="Calibri" w:cs="Calibri" w:eastAsia="Calibri" w:hAnsi="Calibri"/>
                      <w:color w:val="1A1A1A"/>
                      <w:sz w:val="16"/>
                      <w:szCs w:val="16"/>
                    </w:rPr>
                    <w:t xml:space="preserve">Ja / Yes</w:t>
                  </w:r>
                </w:p>
              </w:tc>
            </w:tr>
            <w:tr>
              <w:tc>
                <w:tcPr>
                  <w:tcW w:type="dxa" w:w="900"/>
                  <w:tcBorders>
                    <w:top w:val="single" w:color="CCCCCC" w:sz="1"/>
                    <w:left w:val="single" w:color="CCCCCC" w:sz="1"/>
                    <w:bottom w:val="single" w:color="CCCCCC" w:sz="1"/>
                    <w:right w:val="single" w:color="CCCCCC" w:sz="1"/>
                  </w:tcBorders>
                  <w:tcMar>
                    <w:top w:type="dxa" w:w="20"/>
                    <w:left w:type="dxa" w:w="40"/>
                    <w:bottom w:type="dxa" w:w="20"/>
                    <w:right w:type="dxa" w:w="40"/>
                  </w:tcMar>
                </w:tcPr>
                <w:p>
                  <w:r>
                    <w:rPr>
                      <w:rFonts w:ascii="Calibri" w:cs="Calibri" w:eastAsia="Calibri" w:hAnsi="Calibri"/>
                      <w:color w:val="1A1A1A"/>
                      <w:sz w:val="16"/>
                      <w:szCs w:val="16"/>
                    </w:rPr>
                    <w:t xml:space="preserve">48</w:t>
                  </w:r>
                </w:p>
              </w:tc>
              <w:tc>
                <w:tcPr>
                  <w:tcW w:type="dxa" w:w="1100"/>
                  <w:tcBorders>
                    <w:top w:val="single" w:color="CCCCCC" w:sz="1"/>
                    <w:left w:val="single" w:color="CCCCCC" w:sz="1"/>
                    <w:bottom w:val="single" w:color="CCCCCC" w:sz="1"/>
                    <w:right w:val="single" w:color="CCCCCC" w:sz="1"/>
                  </w:tcBorders>
                  <w:tcMar>
                    <w:top w:type="dxa" w:w="20"/>
                    <w:left w:type="dxa" w:w="40"/>
                    <w:bottom w:type="dxa" w:w="20"/>
                    <w:right w:type="dxa" w:w="40"/>
                  </w:tcMar>
                </w:tcPr>
                <w:p>
                  <w:r>
                    <w:rPr>
                      <w:rFonts w:ascii="Calibri" w:cs="Calibri" w:eastAsia="Calibri" w:hAnsi="Calibri"/>
                      <w:color w:val="1A1A1A"/>
                      <w:sz w:val="16"/>
                      <w:szCs w:val="16"/>
                    </w:rPr>
                    <w:t xml:space="preserve">100%</w:t>
                  </w:r>
                </w:p>
              </w:tc>
              <w:tc>
                <w:tcPr>
                  <w:tcW w:type="dxa" w:w="1200"/>
                  <w:tcBorders>
                    <w:top w:val="single" w:color="CCCCCC" w:sz="1"/>
                    <w:left w:val="single" w:color="CCCCCC" w:sz="1"/>
                    <w:bottom w:val="single" w:color="CCCCCC" w:sz="1"/>
                    <w:right w:val="single" w:color="CCCCCC" w:sz="1"/>
                  </w:tcBorders>
                  <w:tcMar>
                    <w:top w:type="dxa" w:w="20"/>
                    <w:left w:type="dxa" w:w="40"/>
                    <w:bottom w:type="dxa" w:w="20"/>
                    <w:right w:type="dxa" w:w="40"/>
                  </w:tcMar>
                </w:tcPr>
                <w:p>
                  <w:r>
                    <w:rPr>
                      <w:rFonts w:ascii="Calibri" w:cs="Calibri" w:eastAsia="Calibri" w:hAnsi="Calibri"/>
                      <w:color w:val="1A1A1A"/>
                      <w:sz w:val="16"/>
                      <w:szCs w:val="16"/>
                    </w:rPr>
                    <w:t xml:space="preserve">0%</w:t>
                  </w:r>
                </w:p>
              </w:tc>
              <w:tc>
                <w:tcPr>
                  <w:tcW w:type="dxa" w:w="1400"/>
                  <w:tcBorders>
                    <w:top w:val="single" w:color="CCCCCC" w:sz="1"/>
                    <w:left w:val="single" w:color="CCCCCC" w:sz="1"/>
                    <w:bottom w:val="single" w:color="CCCCCC" w:sz="1"/>
                    <w:right w:val="single" w:color="CCCCCC" w:sz="1"/>
                  </w:tcBorders>
                  <w:tcMar>
                    <w:top w:type="dxa" w:w="20"/>
                    <w:left w:type="dxa" w:w="40"/>
                    <w:bottom w:type="dxa" w:w="20"/>
                    <w:right w:type="dxa" w:w="40"/>
                  </w:tcMar>
                </w:tcPr>
                <w:p>
                  <w:r>
                    <w:rPr>
                      <w:rFonts w:ascii="Calibri" w:cs="Calibri" w:eastAsia="Calibri" w:hAnsi="Calibri"/>
                      <w:color w:val="1A1A1A"/>
                      <w:sz w:val="16"/>
                      <w:szCs w:val="16"/>
                    </w:rPr>
                    <w:t xml:space="preserve">N/A</w:t>
                  </w:r>
                </w:p>
              </w:tc>
            </w:tr>
          </w:tbl>
          <w:p>
            <w:pPr>
              <w:spacing w:before="80"/>
            </w:pPr>
          </w:p>
          <w:p>
            <w:pPr>
              <w:spacing w:after="60"/>
            </w:pPr>
            <w:r>
              <w:rPr>
                <w:rFonts w:ascii="Calibri" w:cs="Calibri" w:eastAsia="Calibri" w:hAnsi="Calibri"/>
                <w:b w:val="false"/>
                <w:bCs w:val="false"/>
                <w:i w:val="false"/>
                <w:iCs w:val="false"/>
                <w:color w:val="1A1A1A"/>
                <w:sz w:val="20"/>
                <w:szCs w:val="20"/>
              </w:rPr>
              <w:t xml:space="preserve">At month 18: 25% is vested normally (cliff). 75% accelerates = all 562,500 shares fully vested.</w:t>
            </w:r>
          </w:p>
          <w:p>
            <w:pPr>
              <w:spacing w:after="60"/>
            </w:pPr>
            <w:r>
              <w:rPr>
                <w:rFonts w:ascii="Calibri" w:cs="Calibri" w:eastAsia="Calibri" w:hAnsi="Calibri"/>
                <w:b w:val="false"/>
                <w:bCs w:val="false"/>
                <w:i w:val="false"/>
                <w:iCs w:val="false"/>
                <w:color w:val="1A1A1A"/>
                <w:sz w:val="20"/>
                <w:szCs w:val="20"/>
              </w:rPr>
              <w:t xml:space="preserve">At month 48: All shares are already fully vested. Acceleration has no practical effect.</w:t>
            </w:r>
          </w:p>
        </w:tc>
      </w:tr>
      <w:tr>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100"/>
            </w:pPr>
            <w:r>
              <w:rPr>
                <w:rFonts w:ascii="Calibri" w:cs="Calibri" w:eastAsia="Calibri" w:hAnsi="Calibri"/>
                <w:b w:val="false"/>
                <w:bCs w:val="false"/>
                <w:i w:val="false"/>
                <w:iCs w:val="false"/>
                <w:color w:val="1A1A1A"/>
                <w:sz w:val="20"/>
                <w:szCs w:val="20"/>
              </w:rPr>
              <w:t xml:space="preserve">Scenario: Salg UTEN Kvalifisert oppsigelse (kun Trigger 1):</w:t>
            </w:r>
          </w:p>
          <w:p>
            <w:pPr>
              <w:spacing w:after="100"/>
            </w:pPr>
            <w:r>
              <w:rPr>
                <w:rFonts w:ascii="Calibri" w:cs="Calibri" w:eastAsia="Calibri" w:hAnsi="Calibri"/>
                <w:b w:val="false"/>
                <w:bCs w:val="false"/>
                <w:i w:val="false"/>
                <w:iCs w:val="false"/>
                <w:color w:val="1A1A1A"/>
                <w:sz w:val="20"/>
                <w:szCs w:val="20"/>
              </w:rPr>
              <w:t xml:space="preserve">Vesting fortsetter normalt. Ingen akselerasjon. Ny eier overtar Selskapets forpliktelser under Avtalen.</w:t>
            </w:r>
          </w:p>
        </w:tc>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100"/>
            </w:pPr>
            <w:r>
              <w:rPr>
                <w:rFonts w:ascii="Calibri" w:cs="Calibri" w:eastAsia="Calibri" w:hAnsi="Calibri"/>
                <w:b w:val="false"/>
                <w:bCs w:val="false"/>
                <w:i w:val="false"/>
                <w:iCs w:val="false"/>
                <w:color w:val="1A1A1A"/>
                <w:sz w:val="20"/>
                <w:szCs w:val="20"/>
              </w:rPr>
              <w:t xml:space="preserve">Scenario: Sale WITHOUT Qualifying Termination (Trigger 1 only):</w:t>
            </w:r>
          </w:p>
          <w:p>
            <w:pPr>
              <w:spacing w:after="100"/>
            </w:pPr>
            <w:r>
              <w:rPr>
                <w:rFonts w:ascii="Calibri" w:cs="Calibri" w:eastAsia="Calibri" w:hAnsi="Calibri"/>
                <w:b w:val="false"/>
                <w:bCs w:val="false"/>
                <w:i w:val="false"/>
                <w:iCs w:val="false"/>
                <w:color w:val="1A1A1A"/>
                <w:sz w:val="20"/>
                <w:szCs w:val="20"/>
              </w:rPr>
              <w:t xml:space="preserve">Vesting continues normally. No acceleration. New owner assumes the Company’s obligations under the Agreement.</w:t>
            </w:r>
          </w:p>
        </w:tc>
      </w:tr>
      <w:tr>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pBdr>
                <w:bottom w:val="single" w:color="FF3E00" w:sz="2"/>
              </w:pBdr>
              <w:spacing w:before="200" w:after="80"/>
            </w:pPr>
            <w:r>
              <w:rPr>
                <w:rFonts w:ascii="Calibri" w:cs="Calibri" w:eastAsia="Calibri" w:hAnsi="Calibri"/>
                <w:b/>
                <w:bCs/>
                <w:color w:val="FF3E00"/>
                <w:spacing w:val="50"/>
                <w:sz w:val="20"/>
                <w:szCs w:val="20"/>
              </w:rPr>
              <w:t xml:space="preserve">§ A.7  KRYSSREFERANSER</w:t>
            </w:r>
          </w:p>
        </w:tc>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pBdr>
                <w:bottom w:val="single" w:color="FF3E00" w:sz="2"/>
              </w:pBdr>
              <w:spacing w:before="200" w:after="80"/>
            </w:pPr>
            <w:r>
              <w:rPr>
                <w:rFonts w:ascii="Calibri" w:cs="Calibri" w:eastAsia="Calibri" w:hAnsi="Calibri"/>
                <w:b/>
                <w:bCs/>
                <w:color w:val="FF3E00"/>
                <w:spacing w:val="50"/>
                <w:sz w:val="20"/>
                <w:szCs w:val="20"/>
              </w:rPr>
              <w:t xml:space="preserve">§ A.7  CROSS-REFERENCES</w:t>
            </w:r>
          </w:p>
        </w:tc>
      </w:tr>
      <w:tr>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40"/>
              <w:ind w:left="300"/>
            </w:pPr>
            <w:r>
              <w:rPr>
                <w:rFonts w:ascii="Calibri" w:cs="Calibri" w:eastAsia="Calibri" w:hAnsi="Calibri"/>
                <w:color w:val="FF3E00"/>
                <w:sz w:val="19"/>
                <w:szCs w:val="19"/>
              </w:rPr>
              <w:t xml:space="preserve">▸ </w:t>
            </w:r>
            <w:r>
              <w:rPr>
                <w:rFonts w:ascii="Calibri" w:cs="Calibri" w:eastAsia="Calibri" w:hAnsi="Calibri"/>
                <w:color w:val="1A1A1A"/>
                <w:sz w:val="19"/>
                <w:szCs w:val="19"/>
              </w:rPr>
              <w:t xml:space="preserve">§2.1–2.2: Vesting-plan og behandling av uvested aksjer</w:t>
            </w:r>
          </w:p>
          <w:p>
            <w:pPr>
              <w:spacing w:after="40"/>
              <w:ind w:left="300"/>
            </w:pPr>
            <w:r>
              <w:rPr>
                <w:rFonts w:ascii="Calibri" w:cs="Calibri" w:eastAsia="Calibri" w:hAnsi="Calibri"/>
                <w:color w:val="FF3E00"/>
                <w:sz w:val="19"/>
                <w:szCs w:val="19"/>
              </w:rPr>
              <w:t xml:space="preserve">▸ </w:t>
            </w:r>
            <w:r>
              <w:rPr>
                <w:rFonts w:ascii="Calibri" w:cs="Calibri" w:eastAsia="Calibri" w:hAnsi="Calibri"/>
                <w:color w:val="1A1A1A"/>
                <w:sz w:val="19"/>
                <w:szCs w:val="19"/>
              </w:rPr>
              <w:t xml:space="preserve">§6: Medsalgsrett (tag-along)</w:t>
            </w:r>
          </w:p>
          <w:p>
            <w:pPr>
              <w:spacing w:after="40"/>
              <w:ind w:left="300"/>
            </w:pPr>
            <w:r>
              <w:rPr>
                <w:rFonts w:ascii="Calibri" w:cs="Calibri" w:eastAsia="Calibri" w:hAnsi="Calibri"/>
                <w:color w:val="FF3E00"/>
                <w:sz w:val="19"/>
                <w:szCs w:val="19"/>
              </w:rPr>
              <w:t xml:space="preserve">▸ </w:t>
            </w:r>
            <w:r>
              <w:rPr>
                <w:rFonts w:ascii="Calibri" w:cs="Calibri" w:eastAsia="Calibri" w:hAnsi="Calibri"/>
                <w:color w:val="1A1A1A"/>
                <w:sz w:val="19"/>
                <w:szCs w:val="19"/>
              </w:rPr>
              <w:t xml:space="preserve">§7: Medsalgsplikt (drag-along)</w:t>
            </w:r>
          </w:p>
          <w:p>
            <w:pPr>
              <w:spacing w:after="40"/>
              <w:ind w:left="300"/>
            </w:pPr>
            <w:r>
              <w:rPr>
                <w:rFonts w:ascii="Calibri" w:cs="Calibri" w:eastAsia="Calibri" w:hAnsi="Calibri"/>
                <w:color w:val="FF3E00"/>
                <w:sz w:val="19"/>
                <w:szCs w:val="19"/>
              </w:rPr>
              <w:t xml:space="preserve">▸ </w:t>
            </w:r>
            <w:r>
              <w:rPr>
                <w:rFonts w:ascii="Calibri" w:cs="Calibri" w:eastAsia="Calibri" w:hAnsi="Calibri"/>
                <w:color w:val="1A1A1A"/>
                <w:sz w:val="19"/>
                <w:szCs w:val="19"/>
              </w:rPr>
              <w:t xml:space="preserve">§8.1: Good Leaver — verdsettelse ved avgang</w:t>
            </w:r>
          </w:p>
          <w:p>
            <w:pPr>
              <w:spacing w:after="40"/>
              <w:ind w:left="300"/>
            </w:pPr>
            <w:r>
              <w:rPr>
                <w:rFonts w:ascii="Calibri" w:cs="Calibri" w:eastAsia="Calibri" w:hAnsi="Calibri"/>
                <w:color w:val="FF3E00"/>
                <w:sz w:val="19"/>
                <w:szCs w:val="19"/>
              </w:rPr>
              <w:t xml:space="preserve">▸ </w:t>
            </w:r>
            <w:r>
              <w:rPr>
                <w:rFonts w:ascii="Calibri" w:cs="Calibri" w:eastAsia="Calibri" w:hAnsi="Calibri"/>
                <w:color w:val="1A1A1A"/>
                <w:sz w:val="19"/>
                <w:szCs w:val="19"/>
              </w:rPr>
              <w:t xml:space="preserve">§8.2: Bad Leaver — overstyrer akselerasjon</w:t>
            </w:r>
          </w:p>
          <w:p>
            <w:pPr>
              <w:spacing w:after="40"/>
              <w:ind w:left="300"/>
            </w:pPr>
            <w:r>
              <w:rPr>
                <w:rFonts w:ascii="Calibri" w:cs="Calibri" w:eastAsia="Calibri" w:hAnsi="Calibri"/>
                <w:color w:val="FF3E00"/>
                <w:sz w:val="19"/>
                <w:szCs w:val="19"/>
              </w:rPr>
              <w:t xml:space="preserve">▸ </w:t>
            </w:r>
            <w:r>
              <w:rPr>
                <w:rFonts w:ascii="Calibri" w:cs="Calibri" w:eastAsia="Calibri" w:hAnsi="Calibri"/>
                <w:color w:val="1A1A1A"/>
                <w:sz w:val="19"/>
                <w:szCs w:val="19"/>
              </w:rPr>
              <w:t xml:space="preserve">§9: Konkurranseforbud (gjelder også etter akselerasjon)</w:t>
            </w:r>
          </w:p>
          <w:p>
            <w:pPr>
              <w:spacing w:after="40"/>
              <w:ind w:left="300"/>
            </w:pPr>
            <w:r>
              <w:rPr>
                <w:rFonts w:ascii="Calibri" w:cs="Calibri" w:eastAsia="Calibri" w:hAnsi="Calibri"/>
                <w:color w:val="FF3E00"/>
                <w:sz w:val="19"/>
                <w:szCs w:val="19"/>
              </w:rPr>
              <w:t xml:space="preserve">▸ </w:t>
            </w:r>
            <w:r>
              <w:rPr>
                <w:rFonts w:ascii="Calibri" w:cs="Calibri" w:eastAsia="Calibri" w:hAnsi="Calibri"/>
                <w:color w:val="1A1A1A"/>
                <w:sz w:val="19"/>
                <w:szCs w:val="19"/>
              </w:rPr>
              <w:t xml:space="preserve">§13: IP-bestemmelser</w:t>
            </w:r>
          </w:p>
          <w:p>
            <w:pPr>
              <w:spacing w:after="40"/>
              <w:ind w:left="300"/>
            </w:pPr>
            <w:r>
              <w:rPr>
                <w:rFonts w:ascii="Calibri" w:cs="Calibri" w:eastAsia="Calibri" w:hAnsi="Calibri"/>
                <w:color w:val="FF3E00"/>
                <w:sz w:val="19"/>
                <w:szCs w:val="19"/>
              </w:rPr>
              <w:t xml:space="preserve">▸ </w:t>
            </w:r>
            <w:r>
              <w:rPr>
                <w:rFonts w:ascii="Calibri" w:cs="Calibri" w:eastAsia="Calibri" w:hAnsi="Calibri"/>
                <w:color w:val="1A1A1A"/>
                <w:sz w:val="19"/>
                <w:szCs w:val="19"/>
              </w:rPr>
              <w:t xml:space="preserve">§14: Lovvalg og voldgift</w:t>
            </w:r>
          </w:p>
        </w:tc>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40"/>
              <w:ind w:left="300"/>
            </w:pPr>
            <w:r>
              <w:rPr>
                <w:rFonts w:ascii="Calibri" w:cs="Calibri" w:eastAsia="Calibri" w:hAnsi="Calibri"/>
                <w:color w:val="FF3E00"/>
                <w:sz w:val="19"/>
                <w:szCs w:val="19"/>
              </w:rPr>
              <w:t xml:space="preserve">▸ </w:t>
            </w:r>
            <w:r>
              <w:rPr>
                <w:rFonts w:ascii="Calibri" w:cs="Calibri" w:eastAsia="Calibri" w:hAnsi="Calibri"/>
                <w:color w:val="1A1A1A"/>
                <w:sz w:val="19"/>
                <w:szCs w:val="19"/>
              </w:rPr>
              <w:t xml:space="preserve">§2.1–2.2: Vesting schedule and treatment of unvested shares</w:t>
            </w:r>
          </w:p>
          <w:p>
            <w:pPr>
              <w:spacing w:after="40"/>
              <w:ind w:left="300"/>
            </w:pPr>
            <w:r>
              <w:rPr>
                <w:rFonts w:ascii="Calibri" w:cs="Calibri" w:eastAsia="Calibri" w:hAnsi="Calibri"/>
                <w:color w:val="FF3E00"/>
                <w:sz w:val="19"/>
                <w:szCs w:val="19"/>
              </w:rPr>
              <w:t xml:space="preserve">▸ </w:t>
            </w:r>
            <w:r>
              <w:rPr>
                <w:rFonts w:ascii="Calibri" w:cs="Calibri" w:eastAsia="Calibri" w:hAnsi="Calibri"/>
                <w:color w:val="1A1A1A"/>
                <w:sz w:val="19"/>
                <w:szCs w:val="19"/>
              </w:rPr>
              <w:t xml:space="preserve">§6: Tag-along right</w:t>
            </w:r>
          </w:p>
          <w:p>
            <w:pPr>
              <w:spacing w:after="40"/>
              <w:ind w:left="300"/>
            </w:pPr>
            <w:r>
              <w:rPr>
                <w:rFonts w:ascii="Calibri" w:cs="Calibri" w:eastAsia="Calibri" w:hAnsi="Calibri"/>
                <w:color w:val="FF3E00"/>
                <w:sz w:val="19"/>
                <w:szCs w:val="19"/>
              </w:rPr>
              <w:t xml:space="preserve">▸ </w:t>
            </w:r>
            <w:r>
              <w:rPr>
                <w:rFonts w:ascii="Calibri" w:cs="Calibri" w:eastAsia="Calibri" w:hAnsi="Calibri"/>
                <w:color w:val="1A1A1A"/>
                <w:sz w:val="19"/>
                <w:szCs w:val="19"/>
              </w:rPr>
              <w:t xml:space="preserve">§7: Drag-along right</w:t>
            </w:r>
          </w:p>
          <w:p>
            <w:pPr>
              <w:spacing w:after="40"/>
              <w:ind w:left="300"/>
            </w:pPr>
            <w:r>
              <w:rPr>
                <w:rFonts w:ascii="Calibri" w:cs="Calibri" w:eastAsia="Calibri" w:hAnsi="Calibri"/>
                <w:color w:val="FF3E00"/>
                <w:sz w:val="19"/>
                <w:szCs w:val="19"/>
              </w:rPr>
              <w:t xml:space="preserve">▸ </w:t>
            </w:r>
            <w:r>
              <w:rPr>
                <w:rFonts w:ascii="Calibri" w:cs="Calibri" w:eastAsia="Calibri" w:hAnsi="Calibri"/>
                <w:color w:val="1A1A1A"/>
                <w:sz w:val="19"/>
                <w:szCs w:val="19"/>
              </w:rPr>
              <w:t xml:space="preserve">§8.1: Good Leaver — valuation upon departure</w:t>
            </w:r>
          </w:p>
          <w:p>
            <w:pPr>
              <w:spacing w:after="40"/>
              <w:ind w:left="300"/>
            </w:pPr>
            <w:r>
              <w:rPr>
                <w:rFonts w:ascii="Calibri" w:cs="Calibri" w:eastAsia="Calibri" w:hAnsi="Calibri"/>
                <w:color w:val="FF3E00"/>
                <w:sz w:val="19"/>
                <w:szCs w:val="19"/>
              </w:rPr>
              <w:t xml:space="preserve">▸ </w:t>
            </w:r>
            <w:r>
              <w:rPr>
                <w:rFonts w:ascii="Calibri" w:cs="Calibri" w:eastAsia="Calibri" w:hAnsi="Calibri"/>
                <w:color w:val="1A1A1A"/>
                <w:sz w:val="19"/>
                <w:szCs w:val="19"/>
              </w:rPr>
              <w:t xml:space="preserve">§8.2: Bad Leaver — overrides acceleration</w:t>
            </w:r>
          </w:p>
          <w:p>
            <w:pPr>
              <w:spacing w:after="40"/>
              <w:ind w:left="300"/>
            </w:pPr>
            <w:r>
              <w:rPr>
                <w:rFonts w:ascii="Calibri" w:cs="Calibri" w:eastAsia="Calibri" w:hAnsi="Calibri"/>
                <w:color w:val="FF3E00"/>
                <w:sz w:val="19"/>
                <w:szCs w:val="19"/>
              </w:rPr>
              <w:t xml:space="preserve">▸ </w:t>
            </w:r>
            <w:r>
              <w:rPr>
                <w:rFonts w:ascii="Calibri" w:cs="Calibri" w:eastAsia="Calibri" w:hAnsi="Calibri"/>
                <w:color w:val="1A1A1A"/>
                <w:sz w:val="19"/>
                <w:szCs w:val="19"/>
              </w:rPr>
              <w:t xml:space="preserve">§9: Non-compete (continues to apply post-acceleration)</w:t>
            </w:r>
          </w:p>
          <w:p>
            <w:pPr>
              <w:spacing w:after="40"/>
              <w:ind w:left="300"/>
            </w:pPr>
            <w:r>
              <w:rPr>
                <w:rFonts w:ascii="Calibri" w:cs="Calibri" w:eastAsia="Calibri" w:hAnsi="Calibri"/>
                <w:color w:val="FF3E00"/>
                <w:sz w:val="19"/>
                <w:szCs w:val="19"/>
              </w:rPr>
              <w:t xml:space="preserve">▸ </w:t>
            </w:r>
            <w:r>
              <w:rPr>
                <w:rFonts w:ascii="Calibri" w:cs="Calibri" w:eastAsia="Calibri" w:hAnsi="Calibri"/>
                <w:color w:val="1A1A1A"/>
                <w:sz w:val="19"/>
                <w:szCs w:val="19"/>
              </w:rPr>
              <w:t xml:space="preserve">§13: IP provisions</w:t>
            </w:r>
          </w:p>
          <w:p>
            <w:pPr>
              <w:spacing w:after="40"/>
              <w:ind w:left="300"/>
            </w:pPr>
            <w:r>
              <w:rPr>
                <w:rFonts w:ascii="Calibri" w:cs="Calibri" w:eastAsia="Calibri" w:hAnsi="Calibri"/>
                <w:color w:val="FF3E00"/>
                <w:sz w:val="19"/>
                <w:szCs w:val="19"/>
              </w:rPr>
              <w:t xml:space="preserve">▸ </w:t>
            </w:r>
            <w:r>
              <w:rPr>
                <w:rFonts w:ascii="Calibri" w:cs="Calibri" w:eastAsia="Calibri" w:hAnsi="Calibri"/>
                <w:color w:val="1A1A1A"/>
                <w:sz w:val="19"/>
                <w:szCs w:val="19"/>
              </w:rPr>
              <w:t xml:space="preserve">§14: Governing law and arbitration</w:t>
            </w:r>
          </w:p>
        </w:tc>
      </w:tr>
      <w:tr>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pBdr>
                <w:bottom w:val="single" w:color="FF3E00" w:sz="2"/>
              </w:pBdr>
              <w:spacing w:before="200" w:after="80"/>
            </w:pPr>
            <w:r>
              <w:rPr>
                <w:rFonts w:ascii="Calibri" w:cs="Calibri" w:eastAsia="Calibri" w:hAnsi="Calibri"/>
                <w:b/>
                <w:bCs/>
                <w:color w:val="FF3E00"/>
                <w:spacing w:val="50"/>
                <w:sz w:val="20"/>
                <w:szCs w:val="20"/>
              </w:rPr>
              <w:t xml:space="preserve">§ A.8  IKRAFTTREDELSE</w:t>
            </w:r>
          </w:p>
        </w:tc>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pBdr>
                <w:bottom w:val="single" w:color="FF3E00" w:sz="2"/>
              </w:pBdr>
              <w:spacing w:before="200" w:after="80"/>
            </w:pPr>
            <w:r>
              <w:rPr>
                <w:rFonts w:ascii="Calibri" w:cs="Calibri" w:eastAsia="Calibri" w:hAnsi="Calibri"/>
                <w:b/>
                <w:bCs/>
                <w:color w:val="FF3E00"/>
                <w:spacing w:val="50"/>
                <w:sz w:val="20"/>
                <w:szCs w:val="20"/>
              </w:rPr>
              <w:t xml:space="preserve">§ A.8  EFFECTIVENESS</w:t>
            </w:r>
          </w:p>
        </w:tc>
      </w:tr>
      <w:tr>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100"/>
            </w:pPr>
            <w:r>
              <w:rPr>
                <w:rFonts w:ascii="Calibri" w:cs="Calibri" w:eastAsia="Calibri" w:hAnsi="Calibri"/>
                <w:b w:val="false"/>
                <w:bCs w:val="false"/>
                <w:i w:val="false"/>
                <w:iCs w:val="false"/>
                <w:color w:val="1A1A1A"/>
                <w:sz w:val="20"/>
                <w:szCs w:val="20"/>
              </w:rPr>
              <w:t xml:space="preserve">Dette vedlegget trer i kraft samtidig med signering av Aksjonæravtalen og utgør en integrert del av denne. Ved motstrid mellom Aksjonæravtalen og dette vedlegget, gjelder vedleggets bestemmelser for spørsmål om akselerasjon.</w:t>
            </w:r>
          </w:p>
        </w:tc>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100"/>
            </w:pPr>
            <w:r>
              <w:rPr>
                <w:rFonts w:ascii="Calibri" w:cs="Calibri" w:eastAsia="Calibri" w:hAnsi="Calibri"/>
                <w:b w:val="false"/>
                <w:bCs w:val="false"/>
                <w:i w:val="false"/>
                <w:iCs w:val="false"/>
                <w:color w:val="1A1A1A"/>
                <w:sz w:val="20"/>
                <w:szCs w:val="20"/>
              </w:rPr>
              <w:t xml:space="preserve">This schedule takes effect simultaneously with the execution of the Shareholders’ Agreement and forms an integral part thereof. In the event of conflict between the Shareholders’ Agreement and this schedule, the provisions of this schedule shall prevail on matters of acceleration.</w:t>
            </w:r>
          </w:p>
        </w:tc>
      </w:tr>
      <w:tr>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100"/>
            </w:pPr>
            <w:r>
              <w:rPr>
                <w:rFonts w:ascii="Calibri" w:cs="Calibri" w:eastAsia="Calibri" w:hAnsi="Calibri"/>
                <w:b w:val="false"/>
                <w:bCs w:val="false"/>
                <w:i w:val="false"/>
                <w:iCs w:val="false"/>
                <w:color w:val="1A1A1A"/>
                <w:sz w:val="20"/>
                <w:szCs w:val="20"/>
              </w:rPr>
              <w:t xml:space="preserve">I tråd med §1.4 (sunset-klausul): Dette vedlegget erstattes sammen med Aksjonæravtalen ved kvalifiserende finansiering &gt;NOK 2 000 000. Akselerasjonsvilkår i ny SHA forhandles med investorer.</w:t>
            </w:r>
          </w:p>
        </w:tc>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100"/>
            </w:pPr>
            <w:r>
              <w:rPr>
                <w:rFonts w:ascii="Calibri" w:cs="Calibri" w:eastAsia="Calibri" w:hAnsi="Calibri"/>
                <w:b w:val="false"/>
                <w:bCs w:val="false"/>
                <w:i w:val="false"/>
                <w:iCs w:val="false"/>
                <w:color w:val="1A1A1A"/>
                <w:sz w:val="20"/>
                <w:szCs w:val="20"/>
              </w:rPr>
              <w:t xml:space="preserve">Per §1.4 (sunset clause): This schedule is superseded together with the Shareholders’ Agreement upon qualifying financing &gt;NOK 2,000,000. Acceleration terms in the new SHA are negotiated with investors.</w:t>
            </w:r>
          </w:p>
        </w:tc>
      </w:tr>
      <w:tr>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pBdr>
                <w:bottom w:val="single" w:color="FF3E00" w:sz="2"/>
              </w:pBdr>
              <w:spacing w:before="200" w:after="80"/>
            </w:pPr>
            <w:r>
              <w:rPr>
                <w:rFonts w:ascii="Calibri" w:cs="Calibri" w:eastAsia="Calibri" w:hAnsi="Calibri"/>
                <w:b/>
                <w:bCs/>
                <w:color w:val="FF3E00"/>
                <w:spacing w:val="50"/>
                <w:sz w:val="20"/>
                <w:szCs w:val="20"/>
              </w:rPr>
              <w:t xml:space="preserve">SIGNATURER</w:t>
            </w:r>
          </w:p>
        </w:tc>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pBdr>
                <w:bottom w:val="single" w:color="FF3E00" w:sz="2"/>
              </w:pBdr>
              <w:spacing w:before="200" w:after="80"/>
            </w:pPr>
            <w:r>
              <w:rPr>
                <w:rFonts w:ascii="Calibri" w:cs="Calibri" w:eastAsia="Calibri" w:hAnsi="Calibri"/>
                <w:b/>
                <w:bCs/>
                <w:color w:val="FF3E00"/>
                <w:spacing w:val="50"/>
                <w:sz w:val="20"/>
                <w:szCs w:val="20"/>
              </w:rPr>
              <w:t xml:space="preserve"/>
            </w:r>
          </w:p>
        </w:tc>
      </w:tr>
      <w:tr>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0"/>
            </w:pPr>
            <w:r>
              <w:rPr>
                <w:rFonts w:ascii="Calibri" w:cs="Calibri" w:eastAsia="Calibri" w:hAnsi="Calibri"/>
                <w:b w:val="false"/>
                <w:bCs w:val="false"/>
                <w:i w:val="false"/>
                <w:iCs w:val="false"/>
                <w:color w:val="1A1A1A"/>
                <w:sz w:val="20"/>
                <w:szCs w:val="20"/>
              </w:rPr>
              <w:t xml:space="preserve">Signert som vedlegg til Aksjonæravtalen for Aurelian Manufacturing AS:</w:t>
            </w:r>
          </w:p>
        </w:tc>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tc>
      </w:tr>
      <w:tr>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spacing w:before="200"/>
            </w:pPr>
            <w:r>
              <w:rPr>
                <w:rFonts w:ascii="Calibri" w:cs="Calibri" w:eastAsia="Calibri" w:hAnsi="Calibri"/>
                <w:b/>
                <w:bCs/>
                <w:color w:val="1A1A1A"/>
                <w:sz w:val="20"/>
                <w:szCs w:val="20"/>
              </w:rPr>
              <w:t xml:space="preserve">HÖLEN INDUSTRIER AS</w:t>
            </w:r>
          </w:p>
          <w:p>
            <w:r>
              <w:rPr>
                <w:rFonts w:ascii="Calibri" w:cs="Calibri" w:eastAsia="Calibri" w:hAnsi="Calibri"/>
                <w:color w:val="666666"/>
                <w:sz w:val="18"/>
                <w:szCs w:val="18"/>
              </w:rPr>
              <w:t xml:space="preserve">(Org.nr. 832 249 742)</w:t>
            </w:r>
          </w:p>
          <w:p>
            <w:pPr>
              <w:spacing w:before="200"/>
            </w:pPr>
            <w:r>
              <w:rPr>
                <w:rFonts w:ascii="Calibri" w:cs="Calibri" w:eastAsia="Calibri" w:hAnsi="Calibri"/>
                <w:color w:val="666666"/>
                <w:sz w:val="20"/>
                <w:szCs w:val="20"/>
              </w:rPr>
              <w:t xml:space="preserve">________________________________</w:t>
            </w:r>
          </w:p>
          <w:p>
            <w:r>
              <w:rPr>
                <w:rFonts w:ascii="Calibri" w:cs="Calibri" w:eastAsia="Calibri" w:hAnsi="Calibri"/>
                <w:color w:val="1A1A1A"/>
                <w:sz w:val="20"/>
                <w:szCs w:val="20"/>
              </w:rPr>
              <w:t xml:space="preserve">André Tandberg</w:t>
            </w:r>
          </w:p>
          <w:p>
            <w:r>
              <w:rPr>
                <w:rFonts w:ascii="Calibri" w:cs="Calibri" w:eastAsia="Calibri" w:hAnsi="Calibri"/>
                <w:i/>
                <w:iCs/>
                <w:color w:val="666666"/>
                <w:sz w:val="18"/>
                <w:szCs w:val="18"/>
              </w:rPr>
              <w:t xml:space="preserve">Styremedlem / CEO</w:t>
            </w:r>
          </w:p>
          <w:p>
            <w:pPr>
              <w:spacing w:after="40"/>
            </w:pPr>
            <w:r>
              <w:rPr>
                <w:rFonts w:ascii="Calibri" w:cs="Calibri" w:eastAsia="Calibri" w:hAnsi="Calibri"/>
                <w:color w:val="666666"/>
                <w:sz w:val="18"/>
                <w:szCs w:val="18"/>
              </w:rPr>
              <w:t xml:space="preserve">Februar ___, 2026</w:t>
            </w:r>
          </w:p>
        </w:tc>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tc>
      </w:tr>
      <w:tr>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spacing w:before="200"/>
            </w:pPr>
            <w:r>
              <w:rPr>
                <w:rFonts w:ascii="Calibri" w:cs="Calibri" w:eastAsia="Calibri" w:hAnsi="Calibri"/>
                <w:b/>
                <w:bCs/>
                <w:color w:val="1A1A1A"/>
                <w:sz w:val="20"/>
                <w:szCs w:val="20"/>
              </w:rPr>
              <w:t xml:space="preserve">QUALITY GROUP INVEST AS</w:t>
            </w:r>
          </w:p>
          <w:p>
            <w:r>
              <w:rPr>
                <w:rFonts w:ascii="Calibri" w:cs="Calibri" w:eastAsia="Calibri" w:hAnsi="Calibri"/>
                <w:color w:val="666666"/>
                <w:sz w:val="18"/>
                <w:szCs w:val="18"/>
              </w:rPr>
              <w:t xml:space="preserve">(Org.nr. 913 097 203)</w:t>
            </w:r>
          </w:p>
          <w:p>
            <w:pPr>
              <w:spacing w:before="200"/>
            </w:pPr>
            <w:r>
              <w:rPr>
                <w:rFonts w:ascii="Calibri" w:cs="Calibri" w:eastAsia="Calibri" w:hAnsi="Calibri"/>
                <w:color w:val="666666"/>
                <w:sz w:val="20"/>
                <w:szCs w:val="20"/>
              </w:rPr>
              <w:t xml:space="preserve">________________________________</w:t>
            </w:r>
          </w:p>
          <w:p>
            <w:r>
              <w:rPr>
                <w:rFonts w:ascii="Calibri" w:cs="Calibri" w:eastAsia="Calibri" w:hAnsi="Calibri"/>
                <w:color w:val="1A1A1A"/>
                <w:sz w:val="20"/>
                <w:szCs w:val="20"/>
              </w:rPr>
              <w:t xml:space="preserve">Tore Ausland</w:t>
            </w:r>
          </w:p>
          <w:p>
            <w:r>
              <w:rPr>
                <w:rFonts w:ascii="Calibri" w:cs="Calibri" w:eastAsia="Calibri" w:hAnsi="Calibri"/>
                <w:i/>
                <w:iCs/>
                <w:color w:val="666666"/>
                <w:sz w:val="18"/>
                <w:szCs w:val="18"/>
              </w:rPr>
              <w:t xml:space="preserve">Styreleder</w:t>
            </w:r>
          </w:p>
          <w:p>
            <w:pPr>
              <w:spacing w:after="40"/>
            </w:pPr>
            <w:r>
              <w:rPr>
                <w:rFonts w:ascii="Calibri" w:cs="Calibri" w:eastAsia="Calibri" w:hAnsi="Calibri"/>
                <w:color w:val="666666"/>
                <w:sz w:val="18"/>
                <w:szCs w:val="18"/>
              </w:rPr>
              <w:t xml:space="preserve">Februar ___, 2026</w:t>
            </w:r>
          </w:p>
        </w:tc>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tc>
      </w:tr>
      <w:tr>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pPr>
              <w:spacing w:before="200"/>
            </w:pPr>
            <w:r>
              <w:rPr>
                <w:rFonts w:ascii="Calibri" w:cs="Calibri" w:eastAsia="Calibri" w:hAnsi="Calibri"/>
                <w:b/>
                <w:bCs/>
                <w:color w:val="1A1A1A"/>
                <w:sz w:val="20"/>
                <w:szCs w:val="20"/>
              </w:rPr>
              <w:t xml:space="preserve">STAH INVEST AS</w:t>
            </w:r>
          </w:p>
          <w:p>
            <w:r>
              <w:rPr>
                <w:rFonts w:ascii="Calibri" w:cs="Calibri" w:eastAsia="Calibri" w:hAnsi="Calibri"/>
                <w:color w:val="666666"/>
                <w:sz w:val="18"/>
                <w:szCs w:val="18"/>
              </w:rPr>
              <w:t xml:space="preserve">(Org.nr. 937 920 368)</w:t>
            </w:r>
          </w:p>
          <w:p>
            <w:pPr>
              <w:spacing w:before="200"/>
            </w:pPr>
            <w:r>
              <w:rPr>
                <w:rFonts w:ascii="Calibri" w:cs="Calibri" w:eastAsia="Calibri" w:hAnsi="Calibri"/>
                <w:color w:val="666666"/>
                <w:sz w:val="20"/>
                <w:szCs w:val="20"/>
              </w:rPr>
              <w:t xml:space="preserve">________________________________</w:t>
            </w:r>
          </w:p>
          <w:p>
            <w:r>
              <w:rPr>
                <w:rFonts w:ascii="Calibri" w:cs="Calibri" w:eastAsia="Calibri" w:hAnsi="Calibri"/>
                <w:color w:val="1A1A1A"/>
                <w:sz w:val="20"/>
                <w:szCs w:val="20"/>
              </w:rPr>
              <w:t xml:space="preserve">Henrik S. Strøm</w:t>
            </w:r>
          </w:p>
          <w:p>
            <w:r>
              <w:rPr>
                <w:rFonts w:ascii="Calibri" w:cs="Calibri" w:eastAsia="Calibri" w:hAnsi="Calibri"/>
                <w:i/>
                <w:iCs/>
                <w:color w:val="666666"/>
                <w:sz w:val="18"/>
                <w:szCs w:val="18"/>
              </w:rPr>
              <w:t xml:space="preserve">Styremedlem</w:t>
            </w:r>
          </w:p>
          <w:p>
            <w:pPr>
              <w:spacing w:after="40"/>
            </w:pPr>
            <w:r>
              <w:rPr>
                <w:rFonts w:ascii="Calibri" w:cs="Calibri" w:eastAsia="Calibri" w:hAnsi="Calibri"/>
                <w:color w:val="666666"/>
                <w:sz w:val="18"/>
                <w:szCs w:val="18"/>
              </w:rPr>
              <w:t xml:space="preserve">Februar ___, 2026</w:t>
            </w:r>
          </w:p>
        </w:tc>
        <w:tc>
          <w:tcPr>
            <w:tcW w:type="dxa" w:w="4753"/>
            <w:tcBorders>
              <w:top w:val="none" w:color="FFFFFF" w:sz="0"/>
              <w:left w:val="none" w:color="FFFFFF" w:sz="0"/>
              <w:bottom w:val="none" w:color="FFFFFF" w:sz="0"/>
              <w:right w:val="none" w:color="FFFFFF" w:sz="0"/>
            </w:tcBorders>
            <w:tcMar>
              <w:top w:type="dxa" w:w="40"/>
              <w:left w:type="dxa" w:w="80"/>
              <w:bottom w:type="dxa" w:w="40"/>
              <w:right w:type="dxa" w:w="80"/>
            </w:tcMar>
          </w:tcPr>
          <w:p/>
        </w:tc>
      </w:tr>
    </w:tbl>
    <w:sectPr>
      <w:headerReference w:type="default" r:id="rId6"/>
      <w:footerReference w:type="default" r:id="rId7"/>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5"/>
        <w:szCs w:val="15"/>
      </w:rPr>
      <w:t xml:space="preserve">Acceleration Terms — Aurelian Manufacturing AS  |  Side </w:t>
    </w:r>
    <w:r>
      <w:rPr>
        <w:rFonts w:ascii="Calibri" w:cs="Calibri" w:eastAsia="Calibri" w:hAnsi="Calibri"/>
        <w:color w:val="666666"/>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b/>
        <w:bCs/>
        <w:i/>
        <w:iCs/>
        <w:color w:val="FF3E00"/>
        <w:sz w:val="15"/>
        <w:szCs w:val="15"/>
      </w:rPr>
      <w:t xml:space="preserve">DRAFT — </w:t>
    </w:r>
    <w:r>
      <w:rPr>
        <w:rFonts w:ascii="Calibri" w:cs="Calibri" w:eastAsia="Calibri" w:hAnsi="Calibri"/>
        <w:i/>
        <w:iCs/>
        <w:color w:val="666666"/>
        <w:sz w:val="15"/>
        <w:szCs w:val="15"/>
      </w:rPr>
      <w:t xml:space="preserve">Aurelian Manufacturing  |  VDR 01 — Corporate  |  Konfidensielt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2026-02-12T21:06:30.144Z</dcterms:created>
  <dcterms:modified xsi:type="dcterms:W3CDTF">2026-02-12T21:06:30.145Z</dcterms:modified>
</cp:coreProperties>
</file>

<file path=docProps/custom.xml><?xml version="1.0" encoding="utf-8"?>
<Properties xmlns="http://schemas.openxmlformats.org/officeDocument/2006/custom-properties" xmlns:vt="http://schemas.openxmlformats.org/officeDocument/2006/docPropsVTypes"/>
</file>