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22F7" w14:textId="77777777" w:rsidR="00362EF4" w:rsidRPr="001B0E8E" w:rsidRDefault="00000000">
      <w:pPr>
        <w:spacing w:after="4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1A1A1A"/>
          <w:spacing w:val="60"/>
          <w:sz w:val="40"/>
          <w:szCs w:val="40"/>
          <w:lang w:val="en-US"/>
        </w:rPr>
        <w:t>AURELIAN MANUFACTURING</w:t>
      </w:r>
    </w:p>
    <w:p w14:paraId="08A922F8" w14:textId="77777777" w:rsidR="00362EF4" w:rsidRPr="001B0E8E" w:rsidRDefault="00000000">
      <w:pPr>
        <w:spacing w:after="2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22"/>
          <w:szCs w:val="22"/>
          <w:lang w:val="en-US"/>
        </w:rPr>
        <w:t>Executive Summary  |  Pre-Seed Round  |  February 2026</w:t>
      </w:r>
    </w:p>
    <w:p w14:paraId="08A922F9" w14:textId="77777777" w:rsidR="00362EF4" w:rsidRPr="001B0E8E" w:rsidRDefault="00000000">
      <w:pPr>
        <w:spacing w:after="6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2E74B5"/>
          <w:sz w:val="24"/>
          <w:szCs w:val="24"/>
          <w:lang w:val="en-US"/>
        </w:rPr>
        <w:t>Production as a Service — Autonomous, Data-Driven, and Scalable</w:t>
      </w:r>
    </w:p>
    <w:p w14:paraId="08A922FA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COMPANY OVERVIEW</w:t>
      </w:r>
    </w:p>
    <w:p w14:paraId="08A922FB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 Manufacturing is building Europe’s first fully autonomous CNC manufacturing facility in Våler, Østfold, Norway. The company targets the convergence of three structural mega-trends: Norway’s 1,624 Billion NOK defense allocation (2025–2036), a massive energy transition requiring precision components at scale, and a critical domestic CNC capacity gap where existing shops typically operate at 30–40% utilization with high labor intensity per machine.</w:t>
      </w:r>
    </w:p>
    <w:p w14:paraId="08A922FC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Aurelian’s greenfield approach targets 60–65% utilization with sub-linear staffing — a fundamental efficiency advantage that is structurally impossible for incumbents to replicate through brownfield retrofitting. First production is targeted for August 2027.</w:t>
      </w:r>
    </w:p>
    <w:p w14:paraId="08A922FD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THE OPPORTUNITY</w:t>
      </w:r>
    </w:p>
    <w:p w14:paraId="08A922FE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Defense Ramp-Up: NATO commitment to 5% GDP spending. Norwegian defense budget growth creates multi-decade demand for precision-machined components.</w:t>
      </w:r>
    </w:p>
    <w:p w14:paraId="08A922FF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Energy Transition: Offshore wind, O&amp;G modernization, hydrogen/CCS, and grid infrastructure all require precision manufacturing at scale.</w:t>
      </w:r>
    </w:p>
    <w:p w14:paraId="08A92300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Capacity Gap: No domestic CNC facility exists that combines autonomous operation, full digital traceability, and defense/energy certifications.</w:t>
      </w:r>
    </w:p>
    <w:p w14:paraId="08A92301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Validated Model: Hadrian (USA, $1.6B valuation) confirms global investor appetite for autonomous CNC manufacturing in strategic sectors.</w:t>
      </w:r>
    </w:p>
    <w:p w14:paraId="08A92302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BUSINESS MODEL</w:t>
      </w:r>
    </w:p>
    <w:p w14:paraId="08A92303" w14:textId="7B5F5430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Revenue is built bottom-up from individual CNC machine economics: 8,760 theoretical hours per year at NOK 3,000/hour, with target utilization of 60–65%. Each CNC generates approximately 10.8–11.7 MNOK revenue per year at target utilization.</w:t>
      </w:r>
      <w:r w:rsidR="001B0E8E">
        <w:rPr>
          <w:rFonts w:ascii="Calibri" w:eastAsia="Calibri" w:hAnsi="Calibri" w:cs="Calibri"/>
          <w:color w:val="1A1A1A"/>
          <w:lang w:val="en-US"/>
        </w:rPr>
        <w:t xml:space="preserve"> </w:t>
      </w:r>
      <w:r w:rsidR="001051F3">
        <w:rPr>
          <w:rFonts w:ascii="Calibri" w:eastAsia="Calibri" w:hAnsi="Calibri" w:cs="Calibri"/>
          <w:color w:val="1A1A1A"/>
          <w:lang w:val="en-US"/>
        </w:rPr>
        <w:t>The seed base setup wit 5 CnC machines with Automation covers the cost of the whole workshop</w:t>
      </w:r>
      <w:r w:rsidR="00634FE3">
        <w:rPr>
          <w:rFonts w:ascii="Calibri" w:eastAsia="Calibri" w:hAnsi="Calibri" w:cs="Calibri"/>
          <w:color w:val="1A1A1A"/>
          <w:lang w:val="en-US"/>
        </w:rPr>
        <w:t>, so it is ready to scale without any new investments in the facility.</w:t>
      </w:r>
    </w:p>
    <w:p w14:paraId="08A92304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The 50/50 profit-sharing model above 45% utilization creates customer lock-in while preserving 84% of cumulative profit for Aurelian (approximately 1,254 MNOK accumulated 2027–2035).</w:t>
      </w:r>
    </w:p>
    <w:p w14:paraId="08A92305" w14:textId="77777777" w:rsidR="00362EF4" w:rsidRDefault="00000000">
      <w:pPr>
        <w:pBdr>
          <w:bottom w:val="single" w:sz="2" w:space="0" w:color="FF3E00"/>
        </w:pBdr>
        <w:spacing w:before="320" w:after="120"/>
      </w:pPr>
      <w:r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</w:rPr>
        <w:t>FINANCIAL HIGHLIGHTS (REV6)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1500"/>
        <w:gridCol w:w="1306"/>
        <w:gridCol w:w="1500"/>
      </w:tblGrid>
      <w:tr w:rsidR="00362EF4" w14:paraId="08A92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6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Metric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7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8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9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A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B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2035</w:t>
            </w:r>
          </w:p>
        </w:tc>
      </w:tr>
      <w:tr w:rsidR="00362EF4" w14:paraId="08A92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CNC Machines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0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17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1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25</w:t>
            </w:r>
          </w:p>
        </w:tc>
      </w:tr>
      <w:tr w:rsidR="00362EF4" w14:paraId="08A92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Avg Utilization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37.5%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47.5%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8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57.5%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9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65%</w:t>
            </w:r>
          </w:p>
        </w:tc>
      </w:tr>
      <w:tr w:rsidR="00362EF4" w14:paraId="08A92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B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Revenue (MNOK)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C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49.3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~212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~302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0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~427</w:t>
            </w:r>
          </w:p>
        </w:tc>
      </w:tr>
      <w:tr w:rsidR="00362EF4" w14:paraId="08A92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Staff (FTE)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17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24</w:t>
            </w:r>
          </w:p>
        </w:tc>
      </w:tr>
    </w:tbl>
    <w:p w14:paraId="08A92329" w14:textId="77777777" w:rsidR="00362EF4" w:rsidRDefault="00362EF4">
      <w:pPr>
        <w:spacing w:after="60"/>
      </w:pPr>
    </w:p>
    <w:p w14:paraId="08A9232A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Break-even: approximately 24% utilization at 5 CNC (Seed configuration). Revenue at 20 CNC steady state with 60% utilization: approximately 315 MNOK.</w:t>
      </w:r>
    </w:p>
    <w:p w14:paraId="08A9232B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FINANCING STRUCTURE (REV6)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1600"/>
        <w:gridCol w:w="1200"/>
        <w:gridCol w:w="1806"/>
        <w:gridCol w:w="1800"/>
      </w:tblGrid>
      <w:tr w:rsidR="00362EF4" w14:paraId="08A923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C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Round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D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E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Pre-Money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F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Dilution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30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CNC Machines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31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Investor ROI</w:t>
            </w:r>
          </w:p>
        </w:tc>
      </w:tr>
      <w:tr w:rsidR="00362EF4" w14:paraId="08A923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Pre-Seed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25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16.7%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8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~46.6x</w:t>
            </w:r>
          </w:p>
        </w:tc>
      </w:tr>
      <w:tr w:rsidR="00362EF4" w14:paraId="08A923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A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B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51.3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C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130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28.3%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 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~10.8x</w:t>
            </w:r>
          </w:p>
        </w:tc>
      </w:tr>
      <w:tr w:rsidR="00362EF4" w14:paraId="08A923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1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Serie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45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15 CNC (3×5)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</w:tr>
      <w:tr w:rsidR="00362EF4" w14:paraId="08A923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8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9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101.3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A" w14:textId="77777777" w:rsidR="00362EF4" w:rsidRDefault="00362EF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B" w14:textId="77777777" w:rsidR="00362EF4" w:rsidRDefault="00362EF4"/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C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 CNC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D" w14:textId="77777777" w:rsidR="00362EF4" w:rsidRDefault="00362EF4"/>
        </w:tc>
      </w:tr>
    </w:tbl>
    <w:p w14:paraId="08A9234F" w14:textId="77777777" w:rsidR="00362EF4" w:rsidRDefault="00362EF4">
      <w:pPr>
        <w:spacing w:after="60"/>
      </w:pPr>
    </w:p>
    <w:p w14:paraId="08A92350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CAPEX per CNC including automation: 10 MNOK. Debt financing at 5.0 MNOK/CNC (Seed) and 7.0 MNOK/CNC (Serie A). Founders retain 50.6% post-Serie A — unusual discipline for a capital-intensive startup.</w:t>
      </w:r>
    </w:p>
    <w:p w14:paraId="08A92351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EXIT SCENARIO</w:t>
      </w:r>
    </w:p>
    <w:p w14:paraId="08A92352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Exit valuation: 2.3 Billion NOK at 10x EBITDA (conservative end of Industrial IoT range 6.9–11.1x). EBITDA at steady state: approximately 222 MNOK. Self-funded scaling capability from approximately 2030 reduces future dilution pressure. Total accumulated profit 2027–2035: approximately 1,254 MNOK.</w:t>
      </w:r>
    </w:p>
    <w:p w14:paraId="08A92353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COMPETITIVE MOAT</w:t>
      </w:r>
    </w:p>
    <w:p w14:paraId="08A92354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Low labor intensity with sub-linear scaling relative to CNC capacity — a structural advantage that traditional high-intensity workshops cannot replicate through retrofitting.</w:t>
      </w:r>
    </w:p>
    <w:p w14:paraId="08A92355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Greenfield advantage: Layout, IT/OT architecture, and automation designed from scratch for lights-out operation.</w:t>
      </w:r>
    </w:p>
    <w:p w14:paraId="08A92356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Customer lock-in: 50/50 profit-sharing above 45% creates permanent demand anchor with strategic customers.</w:t>
      </w:r>
    </w:p>
    <w:p w14:paraId="08A92357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Certification barrier: ISO 9001 (2027), AS9100 (2028), AQAP NATO (2028) — sequential unlock of customer segments.</w:t>
      </w:r>
    </w:p>
    <w:p w14:paraId="08A92358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CNC asset protection: MAZAK and DMG MORI machines retain 50–70% resale value, providing strong downside protection.</w:t>
      </w:r>
    </w:p>
    <w:p w14:paraId="08A92359" w14:textId="77777777" w:rsidR="00362EF4" w:rsidRPr="001B0E8E" w:rsidRDefault="00000000">
      <w:pPr>
        <w:rPr>
          <w:lang w:val="en-US"/>
        </w:rPr>
      </w:pPr>
      <w:r w:rsidRPr="001B0E8E">
        <w:rPr>
          <w:lang w:val="en-US"/>
        </w:rPr>
        <w:br w:type="page"/>
      </w:r>
    </w:p>
    <w:p w14:paraId="08A9235A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lastRenderedPageBreak/>
        <w:t>TEAM</w:t>
      </w:r>
    </w:p>
    <w:p w14:paraId="08A9235B" w14:textId="77777777" w:rsidR="00362EF4" w:rsidRPr="001B0E8E" w:rsidRDefault="00000000">
      <w:pPr>
        <w:spacing w:after="8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André Tandberg (CEO) — MD Østfold Follo Nyskapingsfond, SpareBank 1 board experience. Finance and investment background with extensive network in the Norwegian business ecosystem.</w:t>
      </w:r>
    </w:p>
    <w:p w14:paraId="08A9235C" w14:textId="77777777" w:rsidR="00362EF4" w:rsidRPr="001B0E8E" w:rsidRDefault="00000000">
      <w:pPr>
        <w:spacing w:after="8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Tore Ausland (VP Business Development) — 30+ years oil &amp; gas experience (GE, FMC Technologies, Aker). Direct relationships with Equinor, Hydro, Shell, BP. Critical for customer acquisition in energy and defense sectors.</w:t>
      </w:r>
    </w:p>
    <w:p w14:paraId="08A9235D" w14:textId="77777777" w:rsidR="00362EF4" w:rsidRPr="001B0E8E" w:rsidRDefault="00000000">
      <w:pPr>
        <w:spacing w:after="16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Henrik Strøm (CFO candidate) — Banking and finance background.</w:t>
      </w:r>
    </w:p>
    <w:p w14:paraId="08A9235E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Advisory Board: Bjørnar Torsnes (Chairman CodeIT, board experience VW/TINE/Mowi), Fredrik Vangsal (CEO Disruptive Engineering — CNC expertise), Andreas Mollatt (CBDO Physical Robotics — automation integration).</w:t>
      </w:r>
    </w:p>
    <w:p w14:paraId="08A9235F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FACILITY &amp; TIMELINE</w:t>
      </w:r>
    </w:p>
    <w:p w14:paraId="08A92360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Location: Våler, Østfold — multi-modal logistics (rail, sea, road). Norbygg facility partnership.</w:t>
      </w:r>
    </w:p>
    <w:p w14:paraId="08A92361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Phase 1: 2,635 m², scalable to 30,000 m². Annual lease: 5.2 MNOK.</w:t>
      </w:r>
    </w:p>
    <w:p w14:paraId="08A92362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Shop base setup cost per site: 8.6 MNOK.</w:t>
      </w:r>
    </w:p>
    <w:p w14:paraId="08A92363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Timeline: 12 months from Seed close to first production (August 2027).</w:t>
      </w:r>
    </w:p>
    <w:p w14:paraId="08A92364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F3E00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CNC equipment: MAZAK + DMG MORI (Tier-1 global manufacturers, strong resale value).</w:t>
      </w:r>
    </w:p>
    <w:p w14:paraId="08A92365" w14:textId="77777777" w:rsidR="00362EF4" w:rsidRPr="001B0E8E" w:rsidRDefault="00000000">
      <w:pPr>
        <w:pBdr>
          <w:bottom w:val="single" w:sz="2" w:space="0" w:color="FF3E00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CURRENT ROUND: PRE-SEED</w:t>
      </w:r>
    </w:p>
    <w:p w14:paraId="08A92366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Raising 5 MNOK at 25 MNOK pre-money valuation (16.7% dilution). Use of funds: concept validation, customer discovery, supplier LOIs, regulatory groundwork, team building, and advisory engagement.</w:t>
      </w:r>
    </w:p>
    <w:p w14:paraId="08A92367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Projected Pre-Seed investor ROI: approximately 46.6x at exit.</w:t>
      </w:r>
    </w:p>
    <w:p w14:paraId="08A92368" w14:textId="77777777" w:rsidR="00362EF4" w:rsidRPr="001B0E8E" w:rsidRDefault="00362EF4">
      <w:pPr>
        <w:spacing w:after="60"/>
        <w:rPr>
          <w:lang w:val="en-US"/>
        </w:rPr>
      </w:pPr>
    </w:p>
    <w:p w14:paraId="08A92369" w14:textId="77777777" w:rsidR="00362EF4" w:rsidRPr="001B0E8E" w:rsidRDefault="00362EF4">
      <w:pPr>
        <w:pBdr>
          <w:top w:val="single" w:sz="2" w:space="0" w:color="FF3E00"/>
        </w:pBdr>
        <w:spacing w:before="200"/>
        <w:rPr>
          <w:lang w:val="en-US"/>
        </w:rPr>
      </w:pPr>
    </w:p>
    <w:p w14:paraId="08A9236A" w14:textId="77777777" w:rsidR="00362EF4" w:rsidRPr="001B0E8E" w:rsidRDefault="00000000">
      <w:pPr>
        <w:spacing w:before="120" w:after="4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F3E00"/>
          <w:spacing w:val="80"/>
          <w:sz w:val="22"/>
          <w:szCs w:val="22"/>
          <w:lang w:val="en-US"/>
        </w:rPr>
        <w:t>CONTACT</w:t>
      </w:r>
    </w:p>
    <w:p w14:paraId="08A9236B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André Tandberg, CEO  |  andre@aurelian.no</w:t>
      </w:r>
    </w:p>
    <w:p w14:paraId="08A9236C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Tore Ausland, VP Business Development  |  tore@aurelian.no</w:t>
      </w:r>
    </w:p>
    <w:p w14:paraId="08A9236D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 Manufacturing AS  |  Våler, Østfold, Norway</w:t>
      </w:r>
    </w:p>
    <w:sectPr w:rsidR="00362EF4" w:rsidRPr="001B0E8E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6DAC" w14:textId="77777777" w:rsidR="00944850" w:rsidRDefault="00944850">
      <w:r>
        <w:separator/>
      </w:r>
    </w:p>
  </w:endnote>
  <w:endnote w:type="continuationSeparator" w:id="0">
    <w:p w14:paraId="641086EA" w14:textId="77777777" w:rsidR="00944850" w:rsidRDefault="00944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236F" w14:textId="7F699502" w:rsidR="00362EF4" w:rsidRDefault="00000000">
    <w:pPr>
      <w:jc w:val="center"/>
    </w:pPr>
    <w:r>
      <w:rPr>
        <w:rFonts w:ascii="Calibri" w:eastAsia="Calibri" w:hAnsi="Calibri" w:cs="Calibri"/>
        <w:color w:val="666666"/>
        <w:sz w:val="15"/>
        <w:szCs w:val="15"/>
      </w:rPr>
      <w:t xml:space="preserve">Aurelian Manufacturing — Executive Summary  |  Side </w:t>
    </w:r>
    <w:r>
      <w:rPr>
        <w:rFonts w:ascii="Calibri" w:eastAsia="Calibri" w:hAnsi="Calibri" w:cs="Calibri"/>
        <w:color w:val="666666"/>
        <w:sz w:val="15"/>
        <w:szCs w:val="15"/>
      </w:rPr>
      <w:fldChar w:fldCharType="begin"/>
    </w:r>
    <w:r>
      <w:rPr>
        <w:rFonts w:ascii="Calibri" w:eastAsia="Calibri" w:hAnsi="Calibri" w:cs="Calibri"/>
        <w:color w:val="666666"/>
        <w:sz w:val="15"/>
        <w:szCs w:val="15"/>
      </w:rPr>
      <w:instrText>PAGE</w:instrText>
    </w:r>
    <w:r>
      <w:rPr>
        <w:rFonts w:ascii="Calibri" w:eastAsia="Calibri" w:hAnsi="Calibri" w:cs="Calibri"/>
        <w:color w:val="666666"/>
        <w:sz w:val="15"/>
        <w:szCs w:val="15"/>
      </w:rPr>
      <w:fldChar w:fldCharType="separate"/>
    </w:r>
    <w:r w:rsidR="001B0E8E">
      <w:rPr>
        <w:rFonts w:ascii="Calibri" w:eastAsia="Calibri" w:hAnsi="Calibri" w:cs="Calibri"/>
        <w:noProof/>
        <w:color w:val="666666"/>
        <w:sz w:val="15"/>
        <w:szCs w:val="15"/>
      </w:rPr>
      <w:t>1</w:t>
    </w:r>
    <w:r>
      <w:rPr>
        <w:rFonts w:ascii="Calibri" w:eastAsia="Calibri" w:hAnsi="Calibri" w:cs="Calibri"/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B580" w14:textId="77777777" w:rsidR="00944850" w:rsidRDefault="00944850">
      <w:r>
        <w:separator/>
      </w:r>
    </w:p>
  </w:footnote>
  <w:footnote w:type="continuationSeparator" w:id="0">
    <w:p w14:paraId="109BEED2" w14:textId="77777777" w:rsidR="00944850" w:rsidRDefault="00944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236E" w14:textId="77777777" w:rsidR="00362EF4" w:rsidRPr="001B0E8E" w:rsidRDefault="00000000">
    <w:pPr>
      <w:jc w:val="right"/>
      <w:rPr>
        <w:lang w:val="en-US"/>
      </w:rPr>
    </w:pPr>
    <w:r w:rsidRPr="001B0E8E">
      <w:rPr>
        <w:rFonts w:ascii="Calibri" w:eastAsia="Calibri" w:hAnsi="Calibri" w:cs="Calibri"/>
        <w:i/>
        <w:iCs/>
        <w:color w:val="666666"/>
        <w:sz w:val="15"/>
        <w:szCs w:val="15"/>
        <w:lang w:val="en-US"/>
      </w:rPr>
      <w:t>Aurelian Manufacturing  |  VDR 00 — Executive Summary  |  Konfidensielt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E6824"/>
    <w:multiLevelType w:val="hybridMultilevel"/>
    <w:tmpl w:val="3BFCC66A"/>
    <w:lvl w:ilvl="0" w:tplc="4B7673FE">
      <w:start w:val="1"/>
      <w:numFmt w:val="bullet"/>
      <w:lvlText w:val="●"/>
      <w:lvlJc w:val="left"/>
      <w:pPr>
        <w:ind w:left="720" w:hanging="360"/>
      </w:pPr>
    </w:lvl>
    <w:lvl w:ilvl="1" w:tplc="62FCB58C">
      <w:start w:val="1"/>
      <w:numFmt w:val="bullet"/>
      <w:lvlText w:val="○"/>
      <w:lvlJc w:val="left"/>
      <w:pPr>
        <w:ind w:left="1440" w:hanging="360"/>
      </w:pPr>
    </w:lvl>
    <w:lvl w:ilvl="2" w:tplc="700CDD3E">
      <w:start w:val="1"/>
      <w:numFmt w:val="bullet"/>
      <w:lvlText w:val="■"/>
      <w:lvlJc w:val="left"/>
      <w:pPr>
        <w:ind w:left="2160" w:hanging="360"/>
      </w:pPr>
    </w:lvl>
    <w:lvl w:ilvl="3" w:tplc="54A22BF2">
      <w:start w:val="1"/>
      <w:numFmt w:val="bullet"/>
      <w:lvlText w:val="●"/>
      <w:lvlJc w:val="left"/>
      <w:pPr>
        <w:ind w:left="2880" w:hanging="360"/>
      </w:pPr>
    </w:lvl>
    <w:lvl w:ilvl="4" w:tplc="536CAAC4">
      <w:start w:val="1"/>
      <w:numFmt w:val="bullet"/>
      <w:lvlText w:val="○"/>
      <w:lvlJc w:val="left"/>
      <w:pPr>
        <w:ind w:left="3600" w:hanging="360"/>
      </w:pPr>
    </w:lvl>
    <w:lvl w:ilvl="5" w:tplc="B822A78C">
      <w:start w:val="1"/>
      <w:numFmt w:val="bullet"/>
      <w:lvlText w:val="■"/>
      <w:lvlJc w:val="left"/>
      <w:pPr>
        <w:ind w:left="4320" w:hanging="360"/>
      </w:pPr>
    </w:lvl>
    <w:lvl w:ilvl="6" w:tplc="435C8B78">
      <w:start w:val="1"/>
      <w:numFmt w:val="bullet"/>
      <w:lvlText w:val="●"/>
      <w:lvlJc w:val="left"/>
      <w:pPr>
        <w:ind w:left="5040" w:hanging="360"/>
      </w:pPr>
    </w:lvl>
    <w:lvl w:ilvl="7" w:tplc="107E2BF6">
      <w:start w:val="1"/>
      <w:numFmt w:val="bullet"/>
      <w:lvlText w:val="●"/>
      <w:lvlJc w:val="left"/>
      <w:pPr>
        <w:ind w:left="5760" w:hanging="360"/>
      </w:pPr>
    </w:lvl>
    <w:lvl w:ilvl="8" w:tplc="0324FECE">
      <w:start w:val="1"/>
      <w:numFmt w:val="bullet"/>
      <w:lvlText w:val="●"/>
      <w:lvlJc w:val="left"/>
      <w:pPr>
        <w:ind w:left="6480" w:hanging="360"/>
      </w:pPr>
    </w:lvl>
  </w:abstractNum>
  <w:num w:numId="1" w16cid:durableId="1416897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EF4"/>
    <w:rsid w:val="001051F3"/>
    <w:rsid w:val="001B0E8E"/>
    <w:rsid w:val="00362EF4"/>
    <w:rsid w:val="004B2609"/>
    <w:rsid w:val="00634FE3"/>
    <w:rsid w:val="009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22F7"/>
  <w15:docId w15:val="{636C4C06-57B0-440F-B9A9-E8583243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848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4</cp:revision>
  <dcterms:created xsi:type="dcterms:W3CDTF">2026-02-13T04:13:00Z</dcterms:created>
  <dcterms:modified xsi:type="dcterms:W3CDTF">2026-02-15T13:05:00Z</dcterms:modified>
</cp:coreProperties>
</file>