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9" w:name="content"/>
    <w:bookmarkStart w:id="78" w:name="Xe0c263b125422aad494f8f985a53acab23287c9"/>
    <w:p>
      <w:pPr>
        <w:pStyle w:val="Heading1"/>
      </w:pPr>
      <w:r>
        <w:t xml:space="preserve">Industri 4.0-baserte beregningsmodeller for prising av CNC-operasjoner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Industri 4.0-miljøer bygger i praksis CNC-prising på en hybrid av (a)</w:t>
      </w:r>
      <w:r>
        <w:t xml:space="preserve"> </w:t>
      </w:r>
      <w:r>
        <w:rPr>
          <w:b/>
          <w:bCs/>
        </w:rPr>
        <w:t xml:space="preserve">bottom‑up prosesskost</w:t>
      </w:r>
      <w:r>
        <w:t xml:space="preserve"> </w:t>
      </w:r>
      <w:r>
        <w:t xml:space="preserve">(setup + programmering + syklustid + etterarbeid + QC) og (b)</w:t>
      </w:r>
      <w:r>
        <w:t xml:space="preserve"> </w:t>
      </w:r>
      <w:r>
        <w:rPr>
          <w:b/>
          <w:bCs/>
        </w:rPr>
        <w:t xml:space="preserve">datadrevet kalibrering</w:t>
      </w:r>
      <w:r>
        <w:t xml:space="preserve"> </w:t>
      </w:r>
      <w:r>
        <w:t xml:space="preserve">der digitale tvillinger og sensordata kontinuerlig korrigerer timeestimatene og kapasitetsutnyttelsen.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De mest robuste modellene bruker en</w:t>
      </w:r>
      <w:r>
        <w:t xml:space="preserve"> </w:t>
      </w:r>
      <w:r>
        <w:rPr>
          <w:b/>
          <w:bCs/>
        </w:rPr>
        <w:t xml:space="preserve">Time‑Driven Activity‑Based Costing (TDABC)</w:t>
      </w:r>
      <w:r>
        <w:t xml:space="preserve">-tankegang: man beregner</w:t>
      </w:r>
      <w:r>
        <w:t xml:space="preserve"> </w:t>
      </w:r>
      <w:r>
        <w:rPr>
          <w:i/>
          <w:iCs/>
        </w:rPr>
        <w:t xml:space="preserve">kapasitetskost per time</w:t>
      </w:r>
      <w:r>
        <w:t xml:space="preserve"> </w:t>
      </w:r>
      <w:r>
        <w:t xml:space="preserve">for hver ressurs (maskin, operatør, QC, programmering), og ganger med målte/estimerte tidsdrivere for jobben.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Digital tvilling (rammeverk standardisert i ISO 23247-serien) og standardiserte datagrensesnitt (OPC UA og MTConnect) gjør at syklustid, stopp, alarmer, feed‑override, energiforbruk m.m. kan logges automatisk og brukes til både kalkulasjon og læring.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br/>
      </w:r>
      <w:r>
        <w:t xml:space="preserve">Maskinlæring brukes mest effektivt til (1)</w:t>
      </w:r>
      <w:r>
        <w:t xml:space="preserve"> </w:t>
      </w:r>
      <w:r>
        <w:rPr>
          <w:b/>
          <w:bCs/>
        </w:rPr>
        <w:t xml:space="preserve">syklustidsestimat</w:t>
      </w:r>
      <w:r>
        <w:t xml:space="preserve"> </w:t>
      </w:r>
      <w:r>
        <w:t xml:space="preserve">fra NC‑program/ CAM‑sim og (2)</w:t>
      </w:r>
      <w:r>
        <w:t xml:space="preserve"> </w:t>
      </w:r>
      <w:r>
        <w:rPr>
          <w:b/>
          <w:bCs/>
        </w:rPr>
        <w:t xml:space="preserve">ikke‑skjærende tid</w:t>
      </w:r>
      <w:r>
        <w:t xml:space="preserve"> </w:t>
      </w:r>
      <w:r>
        <w:t xml:space="preserve">(oppspenning, manuell håndtering, verktøyskift, måling, rework) som tradisjonelt har høy variasjon og lav transparens.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br/>
      </w:r>
      <w:r>
        <w:t xml:space="preserve">For Norge er offentlige og leverandørpubliserte timepriser for</w:t>
      </w:r>
      <w:r>
        <w:t xml:space="preserve"> </w:t>
      </w:r>
      <w:r>
        <w:rPr>
          <w:i/>
          <w:iCs/>
        </w:rPr>
        <w:t xml:space="preserve">høypresisjons CNC i Olje &amp; Gass og Forsvar</w:t>
      </w:r>
      <w:r>
        <w:t xml:space="preserve"> </w:t>
      </w:r>
      <w:r>
        <w:t xml:space="preserve">ofte lite transparente (ofte konfidensielt i tilbud). Likevel viser åpne kilder at verksted-/mekanisk arbeid i Norge kan ligge rundt</w:t>
      </w:r>
      <w:r>
        <w:t xml:space="preserve"> </w:t>
      </w:r>
      <w:r>
        <w:rPr>
          <w:b/>
          <w:bCs/>
        </w:rPr>
        <w:t xml:space="preserve">~976–980 kr/time eks. mva</w:t>
      </w:r>
      <w:r>
        <w:t xml:space="preserve"> </w:t>
      </w:r>
      <w:r>
        <w:t xml:space="preserve">i enkelte prislister, mens segmenter med streng dokumentasjon/sertifisering (AQAP/NATO‑krav, NORSOK-regime, sporbarhet) typisk gir premie via økt QA‑tid og indirekte kost.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bookmarkEnd w:id="25"/>
    <w:bookmarkStart w:id="33" w:name="X83a166b9ed4c14a2200ec9dfb151f9122e2825b"/>
    <w:p>
      <w:pPr>
        <w:pStyle w:val="Heading2"/>
      </w:pPr>
      <w:r>
        <w:t xml:space="preserve">Industri 4.0-prinsipper som påvirker prising av CNC</w:t>
      </w:r>
    </w:p>
    <w:p>
      <w:pPr>
        <w:pStyle w:val="FirstParagraph"/>
      </w:pPr>
      <w:r>
        <w:rPr>
          <w:b/>
          <w:bCs/>
        </w:rPr>
        <w:t xml:space="preserve">Digital tvilling som “planlagt vs. faktisk”-motor.</w:t>
      </w:r>
      <w:r>
        <w:t xml:space="preserve"> </w:t>
      </w:r>
      <w:r>
        <w:t xml:space="preserve">ISO 23247 beskriver en digital tvilling-ramme for produksjon som kobler digitale modeller med fysisk tilstand, og er laget for å kunne spesialiseres til ulike produksjonstyper.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br/>
      </w:r>
      <w:r>
        <w:t xml:space="preserve">I prising brukes dette til å:</w:t>
      </w:r>
      <w:r>
        <w:t xml:space="preserve"> </w:t>
      </w:r>
      <w:r>
        <w:t xml:space="preserve">- holde en</w:t>
      </w:r>
      <w:r>
        <w:t xml:space="preserve"> </w:t>
      </w:r>
      <w:r>
        <w:rPr>
          <w:i/>
          <w:iCs/>
        </w:rPr>
        <w:t xml:space="preserve">maskinspesifikk</w:t>
      </w:r>
      <w:r>
        <w:t xml:space="preserve"> </w:t>
      </w:r>
      <w:r>
        <w:t xml:space="preserve">syklustidsmodell (inkl. akselerasjon, kontrollerbegrensninger, verktøyskift, palettlogikk), og</w:t>
      </w:r>
      <w:r>
        <w:br/>
      </w:r>
      <w:r>
        <w:t xml:space="preserve">- sammenligne</w:t>
      </w:r>
      <w:r>
        <w:t xml:space="preserve"> </w:t>
      </w:r>
      <w:r>
        <w:rPr>
          <w:i/>
          <w:iCs/>
        </w:rPr>
        <w:t xml:space="preserve">CAM/NC-simulert tid</w:t>
      </w:r>
      <w:r>
        <w:t xml:space="preserve"> </w:t>
      </w:r>
      <w:r>
        <w:t xml:space="preserve">mot</w:t>
      </w:r>
      <w:r>
        <w:t xml:space="preserve"> </w:t>
      </w:r>
      <w:r>
        <w:rPr>
          <w:i/>
          <w:iCs/>
        </w:rPr>
        <w:t xml:space="preserve">målt maskintid</w:t>
      </w:r>
      <w:r>
        <w:t xml:space="preserve"> </w:t>
      </w:r>
      <w:r>
        <w:t xml:space="preserve">og lære korrigeringsfaktorer per maskin, materiale og strategi.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Sensor-/maskindata som sannhetskilde for tid og kapasitetsfaktorer.</w:t>
      </w:r>
      <w:r>
        <w:t xml:space="preserve"> </w:t>
      </w:r>
      <w:r>
        <w:t xml:space="preserve">Industri 4.0-prising forutsetter at “tidsdriverne” ikke bare er manuelle anslag. Standardiserte grensesnitt brukes for å hente maskindata:</w:t>
      </w:r>
      <w:r>
        <w:br/>
      </w:r>
      <w:r>
        <w:t xml:space="preserve">- OPC Foundation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beskriver OPC UA som en internasjonal standard (IEC 62541) for vertikal og horisontal kommunikasjon og semantisk interoperabilitet i industri/automatisering.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br/>
      </w:r>
      <w:r>
        <w:t xml:space="preserve">- MTConnect Institute</w:t>
      </w:r>
      <w:hyperlink r:id="rId26">
        <w:r>
          <w:rPr>
            <w:rStyle w:val="Hyperlink"/>
          </w:rPr>
          <w:t xml:space="preserve">[10]</w:t>
        </w:r>
      </w:hyperlink>
      <w:r>
        <w:t xml:space="preserve">/MTConnect beskrives som en lettvekts, åpen protokoll for å hente data fra NC-maskiner til overvåkning/analyse (read‑only, XML over HTTP).</w:t>
      </w:r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Automatisert tidsmåling og hendelsesmodell.</w:t>
      </w:r>
      <w:r>
        <w:t xml:space="preserve"> </w:t>
      </w:r>
      <w:r>
        <w:t xml:space="preserve">I en Industri 4.0-kontekst blir “setup” og “syklustid” ofte delt i flere hendelser (setup-start, program-last, dry‑run, førsteartikkel, serieproduksjon, stoppårsaker), slik at man kan prise og forbedre riktig del av prosessen. Dette er en forutsetning for å få TDABC-lignende modeller til å fungere uten tunge manuelle tidsstudier.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Maskinlæring som forbedringslag, ikke eneste modell.</w:t>
      </w:r>
      <w:r>
        <w:t xml:space="preserve"> </w:t>
      </w:r>
      <w:r>
        <w:t xml:space="preserve">Forskning viser flere praktiske tilnærminger:</w:t>
      </w:r>
      <w:r>
        <w:br/>
      </w:r>
      <w:r>
        <w:t xml:space="preserve">- Estimering av syklustid fra NC-program med dyp læring (f.eks. å behandle NC-program som “språk” og bruke sekvensmodeller).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br/>
      </w:r>
      <w:r>
        <w:t xml:space="preserve">- Modeller som predikerer faktisk kjøretid der CAM/NC-kommandoer avviker fra observerte feed-profiler i maskinen.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br/>
      </w:r>
      <w:r>
        <w:t xml:space="preserve">- Forklarbar AI som knytter CAD‑geometri/“features” til kostnad og synliggjør hva som driver prisen.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Energi som kost- og bærekraftdriver.</w:t>
      </w:r>
      <w:r>
        <w:t xml:space="preserve"> </w:t>
      </w:r>
      <w:r>
        <w:t xml:space="preserve">National Institute of Standards and Technology (NIST)</w:t>
      </w: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har publisert arbeid på datadrevne energimodeller for maskinverktøy og metodikk for innsamling/bruk av energidata i prediksjon.</w:t>
      </w:r>
      <w:r>
        <w:t xml:space="preserve"> </w:t>
      </w:r>
      <w:hyperlink r:id="rId31">
        <w:r>
          <w:rPr>
            <w:rStyle w:val="Hyperlink"/>
          </w:rPr>
          <w:t xml:space="preserve">[17]</w:t>
        </w:r>
      </w:hyperlink>
      <w:r>
        <w:br/>
      </w:r>
      <w:r>
        <w:t xml:space="preserve">I tillegg adresserer International Organization for Standardization (ISO)</w:t>
      </w:r>
      <w:hyperlink r:id="rId2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ISO 14955‑serien energi/ miljøevaluering for maskinverktøy (bl.a. prosess og prinsipper for energieffektivitet).</w:t>
      </w:r>
      <w:r>
        <w:t xml:space="preserve"> </w:t>
      </w:r>
      <w:hyperlink r:id="rId32">
        <w:r>
          <w:rPr>
            <w:rStyle w:val="Hyperlink"/>
          </w:rPr>
          <w:t xml:space="preserve">[19]</w:t>
        </w:r>
      </w:hyperlink>
    </w:p>
    <w:bookmarkEnd w:id="33"/>
    <w:bookmarkStart w:id="36" w:name="Xb00faf08174ab0c9d6685bdeda4f2704c4a9aed"/>
    <w:p>
      <w:pPr>
        <w:pStyle w:val="Heading2"/>
      </w:pPr>
      <w:r>
        <w:t xml:space="preserve">Inputparametere og datamodell for kalkulatoren</w:t>
      </w:r>
    </w:p>
    <w:p>
      <w:pPr>
        <w:pStyle w:val="FirstParagraph"/>
      </w:pPr>
      <w:r>
        <w:t xml:space="preserve">En Industri 4.0-kalkulator skiller typisk mellom</w:t>
      </w:r>
      <w:r>
        <w:t xml:space="preserve"> </w:t>
      </w:r>
      <w:r>
        <w:rPr>
          <w:b/>
          <w:bCs/>
        </w:rPr>
        <w:t xml:space="preserve">(A) deldata</w:t>
      </w:r>
      <w:r>
        <w:t xml:space="preserve">,</w:t>
      </w:r>
      <w:r>
        <w:t xml:space="preserve"> </w:t>
      </w:r>
      <w:r>
        <w:rPr>
          <w:b/>
          <w:bCs/>
        </w:rPr>
        <w:t xml:space="preserve">(B) operasjonsdata</w:t>
      </w:r>
      <w:r>
        <w:t xml:space="preserve">,</w:t>
      </w:r>
      <w:r>
        <w:t xml:space="preserve"> </w:t>
      </w:r>
      <w:r>
        <w:rPr>
          <w:b/>
          <w:bCs/>
        </w:rPr>
        <w:t xml:space="preserve">(C) ressurs-/kostsenterdata</w:t>
      </w:r>
      <w:r>
        <w:t xml:space="preserve"> </w:t>
      </w:r>
      <w:r>
        <w:t xml:space="preserve">og</w:t>
      </w:r>
      <w:r>
        <w:t xml:space="preserve"> </w:t>
      </w:r>
      <w:r>
        <w:rPr>
          <w:b/>
          <w:bCs/>
        </w:rPr>
        <w:t xml:space="preserve">(D) risiko/krav</w:t>
      </w:r>
      <w:r>
        <w:t xml:space="preserve">. Dette gjør at samme del kan prises på ulike maskiner/strategier, og at læring kan skje per dimensjon.</w:t>
      </w:r>
    </w:p>
    <w:bookmarkStart w:id="35" w:name="foreslått-parameterstruktur"/>
    <w:p>
      <w:pPr>
        <w:pStyle w:val="Heading3"/>
      </w:pPr>
      <w:r>
        <w:t xml:space="preserve">Foreslått parameterstruktur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Gruppe</w:t>
            </w:r>
          </w:p>
        </w:tc>
        <w:tc>
          <w:tcPr/>
          <w:p>
            <w:pPr>
              <w:pStyle w:val="Compact"/>
            </w:pPr>
            <w:r>
              <w:t xml:space="preserve">Parametere (eksempler)</w:t>
            </w:r>
          </w:p>
        </w:tc>
        <w:tc>
          <w:tcPr/>
          <w:p>
            <w:pPr>
              <w:pStyle w:val="Compact"/>
            </w:pPr>
            <w:r>
              <w:t xml:space="preserve">Typisk kilde i Industri 4.0-oppsett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Materiale</w:t>
            </w:r>
          </w:p>
        </w:tc>
        <w:tc>
          <w:tcPr/>
          <w:p>
            <w:pPr>
              <w:pStyle w:val="Compact"/>
            </w:pPr>
            <w:r>
              <w:t xml:space="preserve">legering/standard, hardhet, densitet, råemneform og -pris, bearbeidbarhetsfaktor</w:t>
            </w:r>
          </w:p>
        </w:tc>
        <w:tc>
          <w:tcPr/>
          <w:p>
            <w:pPr>
              <w:pStyle w:val="Compact"/>
            </w:pPr>
            <w:r>
              <w:t xml:space="preserve">ERP/innkjøp, materialdatabase, historikk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Geometri/feature</w:t>
            </w:r>
          </w:p>
        </w:tc>
        <w:tc>
          <w:tcPr/>
          <w:p>
            <w:pPr>
              <w:pStyle w:val="Compact"/>
            </w:pPr>
            <w:r>
              <w:t xml:space="preserve">bounding box, netto/ brutto volum, fjernet volum, antall oppspenninger, tilgangsvinkler (5-akse), hull/plan/lommer, overflateareal</w:t>
            </w:r>
          </w:p>
        </w:tc>
        <w:tc>
          <w:tcPr/>
          <w:p>
            <w:pPr>
              <w:pStyle w:val="Compact"/>
            </w:pPr>
            <w:r>
              <w:t xml:space="preserve">CAD/STEP, feature extraction, 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Maskin-/prosessvalg</w:t>
            </w:r>
          </w:p>
        </w:tc>
        <w:tc>
          <w:tcPr/>
          <w:p>
            <w:pPr>
              <w:pStyle w:val="Compact"/>
            </w:pPr>
            <w:r>
              <w:t xml:space="preserve">dreiing/fresing, 3‑akse/4‑akse/5‑akse, turn‑mill, arbeidsrom, palett/robot, målesystem</w:t>
            </w:r>
          </w:p>
        </w:tc>
        <w:tc>
          <w:tcPr/>
          <w:p>
            <w:pPr>
              <w:pStyle w:val="Compact"/>
            </w:pPr>
            <w:r>
              <w:t xml:space="preserve">maskinregister, MES, digital tvilling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Verktøy og forbruk</w:t>
            </w:r>
          </w:p>
        </w:tc>
        <w:tc>
          <w:tcPr/>
          <w:p>
            <w:pPr>
              <w:pStyle w:val="Compact"/>
            </w:pPr>
            <w:r>
              <w:t xml:space="preserve">verktøytype, skjærehastighet/mating, verktøylevetid, antall verktøyskift, kjølevæske, spenntang/jigger</w:t>
            </w:r>
          </w:p>
        </w:tc>
        <w:tc>
          <w:tcPr/>
          <w:p>
            <w:pPr>
              <w:pStyle w:val="Compact"/>
            </w:pPr>
            <w:r>
              <w:t xml:space="preserve">CAM, verktøydatabase, sensordata/tool‑life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Tider</w:t>
            </w:r>
          </w:p>
        </w:tc>
        <w:tc>
          <w:tcPr/>
          <w:p>
            <w:pPr>
              <w:pStyle w:val="Compact"/>
            </w:pPr>
            <w:r>
              <w:t xml:space="preserve">oppspenningstid, programmeringstid, syklustid, håndtering, etterarbeid (deburr), varmebehandling, overflate, QC-tid, pakking</w:t>
            </w:r>
          </w:p>
        </w:tc>
        <w:tc>
          <w:tcPr/>
          <w:p>
            <w:pPr>
              <w:pStyle w:val="Compact"/>
            </w:pPr>
            <w:r>
              <w:t xml:space="preserve">CAM sim + maskindata (OPC UA/MTConnect) + 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Kvalitet/toleranser</w:t>
            </w:r>
          </w:p>
        </w:tc>
        <w:tc>
          <w:tcPr/>
          <w:p>
            <w:pPr>
              <w:pStyle w:val="Compact"/>
            </w:pPr>
            <w:r>
              <w:t xml:space="preserve">toleranseklasse, overflatekrav, måleplan (CMM/3D scanning), dokumentasjon/sporbarhet, førsteartikkel</w:t>
            </w:r>
          </w:p>
        </w:tc>
        <w:tc>
          <w:tcPr/>
          <w:p>
            <w:pPr>
              <w:pStyle w:val="Compact"/>
            </w:pPr>
            <w:r>
              <w:t xml:space="preserve">QMS, kundekrav, standardkrav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Batch/ordre</w:t>
            </w:r>
          </w:p>
        </w:tc>
        <w:tc>
          <w:tcPr/>
          <w:p>
            <w:pPr>
              <w:pStyle w:val="Compact"/>
            </w:pPr>
            <w:r>
              <w:t xml:space="preserve">batchstørrelse, leveringshast, serieprofil, læringsfaktor, omstillingsfrekvens</w:t>
            </w:r>
          </w:p>
        </w:tc>
        <w:tc>
          <w:tcPr/>
          <w:p>
            <w:pPr>
              <w:pStyle w:val="Compact"/>
            </w:pPr>
            <w:r>
              <w:t xml:space="preserve">ERP/MES, salgsdata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Økonomi/kapasitet</w:t>
            </w:r>
          </w:p>
        </w:tc>
        <w:tc>
          <w:tcPr/>
          <w:p>
            <w:pPr>
              <w:pStyle w:val="Compact"/>
            </w:pPr>
            <w:r>
              <w:t xml:space="preserve">vedlikehold, avskrivning, energipris, OEE/utnyttelse, operatørkost, indirekte kost</w:t>
            </w:r>
          </w:p>
        </w:tc>
        <w:tc>
          <w:tcPr/>
          <w:p>
            <w:pPr>
              <w:pStyle w:val="Compact"/>
            </w:pPr>
            <w:r>
              <w:t xml:space="preserve">regnskap, MES, energi-/sensordata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sannsynlig skrap/rework, kollisjonsrisiko, materialrisiko, kapasitetspress, endringsrisiko i tegning</w:t>
            </w:r>
          </w:p>
        </w:tc>
        <w:tc>
          <w:tcPr/>
          <w:p>
            <w:pPr>
              <w:pStyle w:val="Compact"/>
            </w:pPr>
            <w:r>
              <w:t xml:space="preserve">historikk, ML risikomodell, regler</w:t>
            </w:r>
          </w:p>
        </w:tc>
      </w:tr>
    </w:tbl>
    <w:p>
      <w:pPr>
        <w:pStyle w:val="BodyText"/>
      </w:pPr>
      <w:r>
        <w:t xml:space="preserve">Denne typen struktur samsvarer med forskning og praksis der CNC-kost er sum av aktivitetene (maskinoperasjon, setup, verktøy, material, overhead) og der feature-/prosessdata brukes til å estimere tidsdrivere.</w:t>
      </w:r>
      <w:r>
        <w:t xml:space="preserve"> </w:t>
      </w:r>
      <w:hyperlink r:id="rId34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Viktig for 5‑akse og multi‑akse:</w:t>
      </w:r>
      <w:r>
        <w:t xml:space="preserve"> </w:t>
      </w:r>
      <w:r>
        <w:t xml:space="preserve">Tidsprediksjon er mer sensitiv for kinematikk, simultan-akser, feedbegrensninger og kontrollerens interne planlegging; derfor er “simulert tid” ofte systematisk biased uten kalibrering.</w:t>
      </w:r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</w:p>
    <w:bookmarkEnd w:id="35"/>
    <w:bookmarkEnd w:id="36"/>
    <w:bookmarkStart w:id="42" w:name="X39f66d380788151711558ea9763b56086771dda"/>
    <w:p>
      <w:pPr>
        <w:pStyle w:val="Heading2"/>
      </w:pPr>
      <w:r>
        <w:t xml:space="preserve">Kostnadsmodeller og estimatorer brukt i Industri 4.0-miljøer</w:t>
      </w:r>
    </w:p>
    <w:p>
      <w:pPr>
        <w:pStyle w:val="FirstParagraph"/>
      </w:pPr>
      <w:r>
        <w:t xml:space="preserve">I praksis ender mange virksomheter med en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fordi én modell alene ikke gir både hastighet (tilbud på minutter), forklarbarhet (hvorfor prisen ble slik) og nøyaktighet (for 5‑akse/høy presisjon).</w:t>
      </w:r>
    </w:p>
    <w:bookmarkStart w:id="37" w:name="bottomup-prosesskost-som-grunnmodell"/>
    <w:p>
      <w:pPr>
        <w:pStyle w:val="Heading3"/>
      </w:pPr>
      <w:r>
        <w:t xml:space="preserve">Bottom‑up prosesskost som grunnmodell</w:t>
      </w:r>
    </w:p>
    <w:p>
      <w:pPr>
        <w:pStyle w:val="FirstParagraph"/>
      </w:pPr>
      <w:r>
        <w:t xml:space="preserve">Kjernen er å regne aktivitet for aktivitet:</w:t>
      </w:r>
      <w:r>
        <w:t xml:space="preserve"> </w:t>
      </w:r>
      <w:r>
        <w:t xml:space="preserve">- Setup/omstilling (oppspenning, nullpunkt, verktøy, prøvekjøring)</w:t>
      </w:r>
      <w:r>
        <w:br/>
      </w:r>
      <w:r>
        <w:t xml:space="preserve">- Programmering (CAM/NC, simulering, postprosess, dokumentasjon)</w:t>
      </w:r>
      <w:r>
        <w:br/>
      </w:r>
      <w:r>
        <w:t xml:space="preserve">- Maskintid (skjæring + ikke-skjærende bevegelse + verktøyskift)</w:t>
      </w:r>
      <w:r>
        <w:br/>
      </w:r>
      <w:r>
        <w:t xml:space="preserve">- Etterarbeid (deburr, vask, merking, varme/overflate, montering)</w:t>
      </w:r>
      <w:r>
        <w:br/>
      </w:r>
      <w:r>
        <w:t xml:space="preserve">- Kvalitetskontroll (måling, rapport, førsteartikkel, sporbarhet)</w:t>
      </w:r>
    </w:p>
    <w:p>
      <w:pPr>
        <w:pStyle w:val="BodyText"/>
      </w:pPr>
      <w:r>
        <w:t xml:space="preserve">Denne tilnærmingen er godt dokumentert i CNC-kostlitteratur (aktivitetsbasert/feature-basert), der total kost er summen av aktivitetene og deres kostdrivere.</w:t>
      </w:r>
      <w:r>
        <w:t xml:space="preserve"> </w:t>
      </w:r>
      <w:hyperlink r:id="rId34">
        <w:r>
          <w:rPr>
            <w:rStyle w:val="Hyperlink"/>
          </w:rPr>
          <w:t xml:space="preserve">[22]</w:t>
        </w:r>
      </w:hyperlink>
    </w:p>
    <w:bookmarkEnd w:id="37"/>
    <w:bookmarkStart w:id="38" w:name="tdabc-som-motor-for-satser-og-kapasitet"/>
    <w:p>
      <w:pPr>
        <w:pStyle w:val="Heading3"/>
      </w:pPr>
      <w:r>
        <w:t xml:space="preserve">TDABC som “motor” for satser og kapasitet</w:t>
      </w:r>
    </w:p>
    <w:p>
      <w:pPr>
        <w:pStyle w:val="FirstParagraph"/>
      </w:pPr>
      <w:r>
        <w:t xml:space="preserve">TDABC (Kaplan &amp; Anderson) brukes ofte implisitt i Industri 4.0-prising: man beregner</w:t>
      </w:r>
      <w:r>
        <w:t xml:space="preserve"> </w:t>
      </w:r>
      <w:r>
        <w:rPr>
          <w:b/>
          <w:bCs/>
        </w:rPr>
        <w:t xml:space="preserve">kapasitetskost per time</w:t>
      </w:r>
      <w:r>
        <w:t xml:space="preserve"> </w:t>
      </w:r>
      <w:r>
        <w:t xml:space="preserve">(eller minutt) for hver ressurs og multipliserer med tidsforbruk per aktivitet, basert på praktisk kapasitet.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br/>
      </w:r>
      <w:r>
        <w:t xml:space="preserve">Dette passer spesielt godt når sensordata gjør at tid per aktivitet kan estimeres automatisk og oppdateres kontinuerlig.</w:t>
      </w:r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</w:p>
    <w:bookmarkEnd w:id="38"/>
    <w:bookmarkStart w:id="40" w:name="X09830f6251086301acb16b797471f79e01fbdcc"/>
    <w:p>
      <w:pPr>
        <w:pStyle w:val="Heading3"/>
      </w:pPr>
      <w:r>
        <w:t xml:space="preserve">Parametriske modeller for rask tilbudsgivning</w:t>
      </w:r>
    </w:p>
    <w:p>
      <w:pPr>
        <w:pStyle w:val="FirstParagraph"/>
      </w:pPr>
      <w:r>
        <w:t xml:space="preserve">Parametriske/feature-baserte modeller gir raske estimater (ofte før full prosessplan er klar). Et eksempel er feature-baserte metoder for NC-maskineringstid som er ment å være “real-time” nyttige.</w:t>
      </w:r>
      <w:r>
        <w:t xml:space="preserve"> </w:t>
      </w:r>
      <w:hyperlink r:id="rId39">
        <w:r>
          <w:rPr>
            <w:rStyle w:val="Hyperlink"/>
          </w:rPr>
          <w:t xml:space="preserve">[25]</w:t>
        </w:r>
      </w:hyperlink>
      <w:r>
        <w:br/>
      </w:r>
      <w:r>
        <w:t xml:space="preserve">Typisk form: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≈</m:t>
        </m:r>
        <m:r>
          <m:t>α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f</m:t>
            </m:r>
            <m:r>
              <m:t>j</m:t>
            </m:r>
            <m:r>
              <m:t>e</m:t>
            </m:r>
            <m:r>
              <m:t>r</m:t>
            </m:r>
            <m:r>
              <m:t>n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o</m:t>
            </m:r>
            <m:r>
              <m:t>v</m:t>
            </m:r>
            <m:r>
              <m:t>e</m:t>
            </m:r>
            <m:r>
              <m:t>r</m:t>
            </m:r>
            <m:r>
              <m:t>f</m:t>
            </m:r>
            <m:r>
              <m:t>l</m:t>
            </m:r>
            <m:r>
              <m:t>a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+</m:t>
        </m:r>
        <m:r>
          <m:t>γ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f</m:t>
            </m:r>
            <m:r>
              <m:t>e</m:t>
            </m:r>
            <m:r>
              <m:t>a</m:t>
            </m:r>
            <m:r>
              <m:t>t</m:t>
            </m:r>
            <m:r>
              <m:t>u</m:t>
            </m:r>
            <m:r>
              <m:t>r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a</m:t>
            </m:r>
            <m:r>
              <m:t>l</m:t>
            </m:r>
            <m:r>
              <m:t>e</m:t>
            </m:r>
          </m:e>
        </m:d>
      </m:oMath>
      <w:r>
        <w:br/>
      </w:r>
      <w:r>
        <w:t xml:space="preserve">- Setup og programmering som funksjon av antall oppspenninger, toleranseklasse og 5‑akse kompleksitet.</w:t>
      </w:r>
    </w:p>
    <w:bookmarkEnd w:id="40"/>
    <w:bookmarkStart w:id="41" w:name="X4c70d22202bbedad50725922cf8b99dbe474813"/>
    <w:p>
      <w:pPr>
        <w:pStyle w:val="Heading3"/>
      </w:pPr>
      <w:r>
        <w:t xml:space="preserve">Læringsbaserte estimater og prediksjon av faktisk syklustid</w:t>
      </w:r>
    </w:p>
    <w:p>
      <w:pPr>
        <w:pStyle w:val="FirstParagraph"/>
      </w:pPr>
      <w:r>
        <w:t xml:space="preserve">Industri 4.0-miljøer bruker ML der datagrunnlaget er godt:</w:t>
      </w:r>
      <w:r>
        <w:br/>
      </w:r>
      <w:r>
        <w:t xml:space="preserve">- Sekvensmodeller for syklustid fra NC-program.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br/>
      </w:r>
      <w:r>
        <w:t xml:space="preserve">- Nevralnett for å predikere faktisk kjøretid fra komplekse 3‑akse programmer når faktisk feedprofil avviker fra kommandert.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br/>
      </w:r>
      <w:r>
        <w:t xml:space="preserve">- XAI/feature-visualisering for kostprediksjon fra CAD-modeller.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Praktisk anbefaling:</w:t>
      </w:r>
      <w:r>
        <w:t xml:space="preserve"> </w:t>
      </w:r>
      <w:r>
        <w:t xml:space="preserve">Bruk ML som et</w:t>
      </w:r>
      <w:r>
        <w:t xml:space="preserve"> </w:t>
      </w:r>
      <w:r>
        <w:rPr>
          <w:i/>
          <w:iCs/>
        </w:rPr>
        <w:t xml:space="preserve">kalibrerings- og forslagssystem</w:t>
      </w:r>
      <w:r>
        <w:t xml:space="preserve"> </w:t>
      </w:r>
      <w:r>
        <w:t xml:space="preserve">(P50/P80) oppå en forklarbar bottom‑up/TDABC‑kjerne, slik at kalkulatoren kan begrunnes overfor kunde og internt, samtidig som den blir bedre med data.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</w:p>
    <w:bookmarkEnd w:id="41"/>
    <w:bookmarkEnd w:id="42"/>
    <w:bookmarkStart w:id="47" w:name="Xde2cd461552b0afa4e7913ed8c9b25ae906dbb5"/>
    <w:p>
      <w:pPr>
        <w:pStyle w:val="Heading2"/>
      </w:pPr>
      <w:r>
        <w:t xml:space="preserve">Datakilder, datainnsamling og kvalitetssikring</w:t>
      </w:r>
    </w:p>
    <w:bookmarkStart w:id="44" w:name="datakilder-som-typisk-inngår"/>
    <w:p>
      <w:pPr>
        <w:pStyle w:val="Heading3"/>
      </w:pPr>
      <w:r>
        <w:t xml:space="preserve">Datakilder som typisk inngår</w:t>
      </w:r>
    </w:p>
    <w:p>
      <w:pPr>
        <w:pStyle w:val="FirstParagraph"/>
      </w:pPr>
      <w:r>
        <w:rPr>
          <w:b/>
          <w:bCs/>
        </w:rPr>
        <w:t xml:space="preserve">Maskin- og sensordata</w:t>
      </w:r>
      <w:r>
        <w:t xml:space="preserve"> </w:t>
      </w:r>
      <w:r>
        <w:t xml:space="preserve">hentes via standardiserte grensesnitt (OPC UA/MTConnect) for status, syklusstart/slutt, stopp, alarmer, override, tellerverk, og i noen oppsett energidata.</w:t>
      </w:r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ERP/MES</w:t>
      </w:r>
      <w:r>
        <w:t xml:space="preserve"> </w:t>
      </w:r>
      <w:r>
        <w:t xml:space="preserve">gir ordrelinjer, routing, planlagt vs faktisk tid, skiftplaner, materialkost, og ofte operatørregistrering for setup/QC/etterarbeid. En vanlig referanseramme for integrasjon mellom enterprise- og produksjonslag er ANSI/ISA‑95 (IEC 62264), som eksplisitt har som mål å definere grensesnitt mellom foretakssystemer og produksjonskontroll.</w:t>
      </w:r>
      <w:r>
        <w:t xml:space="preserve"> </w:t>
      </w:r>
      <w:hyperlink r:id="rId43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Historiske jobber</w:t>
      </w:r>
      <w:r>
        <w:t xml:space="preserve"> </w:t>
      </w:r>
      <w:r>
        <w:t xml:space="preserve">(tilbudsdata + faktisk) er den viktigste kilden for kalibrering:</w:t>
      </w:r>
      <w:r>
        <w:t xml:space="preserve"> </w:t>
      </w:r>
      <w:r>
        <w:t xml:space="preserve">- “Estimert tid” (tilbud)</w:t>
      </w:r>
      <w:r>
        <w:br/>
      </w:r>
      <w:r>
        <w:t xml:space="preserve">- “Planlagt tid” (CAM sim / routing)</w:t>
      </w:r>
      <w:r>
        <w:br/>
      </w:r>
      <w:r>
        <w:t xml:space="preserve">- “Faktisk tid” (maskinlogg + operatørlogg)</w:t>
      </w:r>
      <w:r>
        <w:br/>
      </w:r>
      <w:r>
        <w:t xml:space="preserve">- Skrap/rework og QC-utfall.</w:t>
      </w:r>
    </w:p>
    <w:p>
      <w:pPr>
        <w:pStyle w:val="BodyText"/>
      </w:pPr>
      <w:r>
        <w:rPr>
          <w:b/>
          <w:bCs/>
        </w:rPr>
        <w:t xml:space="preserve">Benchmarking</w:t>
      </w:r>
      <w:r>
        <w:t xml:space="preserve"> </w:t>
      </w:r>
      <w:r>
        <w:t xml:space="preserve">skjer ofte indirekte (tapte/vunne jobber, kundens target) fordi reelle konkurrenttimepriser sjelden er offentlig tilgjengelig i høypresisjonssegmentet.</w:t>
      </w:r>
    </w:p>
    <w:bookmarkEnd w:id="44"/>
    <w:bookmarkStart w:id="45" w:name="innsamling"/>
    <w:p>
      <w:pPr>
        <w:pStyle w:val="Heading3"/>
      </w:pPr>
      <w:r>
        <w:t xml:space="preserve">Innsamling</w:t>
      </w:r>
    </w:p>
    <w:p>
      <w:pPr>
        <w:pStyle w:val="FirstParagraph"/>
      </w:pPr>
      <w:r>
        <w:t xml:space="preserve">Et Industri 4.0-oppsett som faktisk fungerer for prising krever en</w:t>
      </w:r>
      <w:r>
        <w:t xml:space="preserve"> </w:t>
      </w:r>
      <w:r>
        <w:rPr>
          <w:b/>
          <w:bCs/>
        </w:rPr>
        <w:t xml:space="preserve">hendelsesmodell</w:t>
      </w:r>
      <w:r>
        <w:t xml:space="preserve"> </w:t>
      </w:r>
      <w:r>
        <w:t xml:space="preserve">(event log) som kan rekonstruere jobbkost per operasjon. Minimum:</w:t>
      </w:r>
      <w:r>
        <w:t xml:space="preserve"> </w:t>
      </w:r>
      <w:r>
        <w:t xml:space="preserve">- maskin-eventer (cycle_start, cycle_end, idle_reason)</w:t>
      </w:r>
      <w:r>
        <w:br/>
      </w:r>
      <w:r>
        <w:t xml:space="preserve">- operatør-eventer (setup_start/end, QC_start/end, rework_start/end)</w:t>
      </w:r>
      <w:r>
        <w:br/>
      </w:r>
      <w:r>
        <w:t xml:space="preserve">- kobling til ordre/operasjon/NC-programversjon.</w:t>
      </w:r>
    </w:p>
    <w:p>
      <w:pPr>
        <w:pStyle w:val="BodyText"/>
      </w:pPr>
      <w:r>
        <w:t xml:space="preserve">OPC UA og MTConnect brukes nettopp for å få strukturerte og standardiserte data fremfor proprietære formater.</w:t>
      </w:r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</w:p>
    <w:bookmarkEnd w:id="45"/>
    <w:bookmarkStart w:id="46" w:name="validering-og-datakvalitet"/>
    <w:p>
      <w:pPr>
        <w:pStyle w:val="Heading3"/>
      </w:pPr>
      <w:r>
        <w:t xml:space="preserve">Validering og datakvalitet</w:t>
      </w:r>
    </w:p>
    <w:p>
      <w:pPr>
        <w:pStyle w:val="FirstParagraph"/>
      </w:pPr>
      <w:r>
        <w:t xml:space="preserve">Robuste miljøer gjør eksplisitt: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Versjonskontroll</w:t>
      </w:r>
      <w:r>
        <w:t xml:space="preserve"> </w:t>
      </w:r>
      <w:r>
        <w:t xml:space="preserve">(hvilken tegning, NC, fixture og verktøyliste ga hvilken tid/kost).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Avvikshåndtering</w:t>
      </w:r>
      <w:r>
        <w:t xml:space="preserve"> </w:t>
      </w:r>
      <w:r>
        <w:t xml:space="preserve">(høy feed override, uplanlagte stopp, førsteartikkel).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Kalibrering</w:t>
      </w:r>
      <w:r>
        <w:t xml:space="preserve">: modellfeil per maskin/materiale og “størrelsesklasse” (små detaljer vs store flater).</w:t>
      </w:r>
      <w:r>
        <w:t xml:space="preserve"> </w:t>
      </w:r>
      <w:hyperlink r:id="rId29">
        <w:r>
          <w:rPr>
            <w:rStyle w:val="Hyperlink"/>
          </w:rPr>
          <w:t xml:space="preserve">[29]</w:t>
        </w:r>
      </w:hyperlink>
    </w:p>
    <w:bookmarkEnd w:id="46"/>
    <w:bookmarkEnd w:id="47"/>
    <w:bookmarkStart w:id="56" w:name="Xcade05f2633ab0e554649326db1c0d7aeb7a46b"/>
    <w:p>
      <w:pPr>
        <w:pStyle w:val="Heading2"/>
      </w:pPr>
      <w:r>
        <w:t xml:space="preserve">Kalkulasjonsarkitektur med formelsett, usikkerhet og UI/IO</w:t>
      </w:r>
    </w:p>
    <w:bookmarkStart w:id="52" w:name="X89cc53096335b5ce321b86050e9947c93f7eb46"/>
    <w:p>
      <w:pPr>
        <w:pStyle w:val="Heading3"/>
      </w:pPr>
      <w:r>
        <w:t xml:space="preserve">Kjerneidé: ressurs-satser × tidsdrivere + direkte kost</w:t>
      </w:r>
    </w:p>
    <w:p>
      <w:pPr>
        <w:pStyle w:val="FirstParagraph"/>
      </w:pPr>
      <w:r>
        <w:t xml:space="preserve">Bruk TDABC-prinsippet for satser (kapasitetskostrate) og bottom‑up for tidsdrivere.</w:t>
      </w:r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</w:p>
    <w:bookmarkStart w:id="48" w:name="variabler-foreslått"/>
    <w:p>
      <w:pPr>
        <w:pStyle w:val="Heading4"/>
      </w:pPr>
      <w:r>
        <w:t xml:space="preserve">Variabler (foreslått)</w:t>
      </w:r>
    </w:p>
    <w:p>
      <w:pPr>
        <w:pStyle w:val="FirstParagraph"/>
      </w:pPr>
      <w:r>
        <w:rPr>
          <w:b/>
          <w:bCs/>
        </w:rPr>
        <w:t xml:space="preserve">Ordre/del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batchstørrelse</w:t>
      </w:r>
      <w:r>
        <w:br/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skraprate (andel)</w:t>
      </w:r>
      <w:r>
        <w:br/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rework-rate (andel)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t xml:space="preserve">= materialkost (råemne + svinn)</w:t>
      </w:r>
    </w:p>
    <w:p>
      <w:pPr>
        <w:pStyle w:val="BodyText"/>
      </w:pPr>
      <w:r>
        <w:rPr>
          <w:b/>
          <w:bCs/>
        </w:rPr>
        <w:t xml:space="preserve">Tider (timer)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</m:oMath>
      <w:r>
        <w:t xml:space="preserve"> </w:t>
      </w:r>
      <w:r>
        <w:t xml:space="preserve">= programmering (CAM/NC, simulering, dok)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= oppspenning/omstilling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e</m:t>
            </m:r>
          </m:sub>
        </m:sSub>
      </m:oMath>
      <w:r>
        <w:t xml:space="preserve"> </w:t>
      </w:r>
      <w:r>
        <w:t xml:space="preserve">= syklustid per del (maskin)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= manuell håndtering per del (lasting, merking, vask)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= etterarbeid per del (deburr osv.)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q</m:t>
            </m:r>
            <m:r>
              <m:t>c</m:t>
            </m:r>
          </m:sub>
        </m:sSub>
      </m:oMath>
      <w:r>
        <w:t xml:space="preserve"> </w:t>
      </w:r>
      <w:r>
        <w:t xml:space="preserve">= kvalitetskontroll per del (+ førsteartikkel)</w:t>
      </w:r>
    </w:p>
    <w:p>
      <w:pPr>
        <w:pStyle w:val="BodyText"/>
      </w:pPr>
      <w:r>
        <w:rPr>
          <w:b/>
          <w:bCs/>
        </w:rPr>
        <w:t xml:space="preserve">Satser (NOK/time)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maskinsats (per maskin eller celle)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= operatørsats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  <m:r>
              <m:t>c</m:t>
            </m:r>
          </m:sub>
        </m:sSub>
      </m:oMath>
      <w:r>
        <w:t xml:space="preserve"> </w:t>
      </w:r>
      <w:r>
        <w:t xml:space="preserve">= QC/CMM-sats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n</m:t>
            </m:r>
            <m:r>
              <m:t>g</m:t>
            </m:r>
          </m:sub>
        </m:sSub>
      </m:oMath>
      <w:r>
        <w:t xml:space="preserve"> </w:t>
      </w:r>
      <w:r>
        <w:t xml:space="preserve">= programmerings-/ingeniørsats</w:t>
      </w:r>
    </w:p>
    <w:p>
      <w:pPr>
        <w:pStyle w:val="BodyText"/>
      </w:pPr>
      <w:r>
        <w:rPr>
          <w:b/>
          <w:bCs/>
        </w:rPr>
        <w:t xml:space="preserve">Andre kost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  <m:r>
              <m:t>o</m:t>
            </m:r>
            <m:r>
              <m:t>o</m:t>
            </m:r>
            <m:r>
              <m:t>l</m:t>
            </m:r>
          </m:sub>
        </m:sSub>
      </m:oMath>
      <w:r>
        <w:t xml:space="preserve"> </w:t>
      </w:r>
      <w:r>
        <w:t xml:space="preserve">= verktøykost per batch (slitasje, spesialverktøy)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x</m:t>
            </m:r>
            <m:r>
              <m:t>t</m:t>
            </m:r>
          </m:sub>
        </m:sSub>
      </m:oMath>
      <w:r>
        <w:t xml:space="preserve"> </w:t>
      </w:r>
      <w:r>
        <w:t xml:space="preserve">= eksterne prosesser (HT, NDT, coating)</w:t>
      </w:r>
    </w:p>
    <w:bookmarkEnd w:id="48"/>
    <w:bookmarkStart w:id="49" w:name="maskinsats-per-maskin-internkost"/>
    <w:p>
      <w:pPr>
        <w:pStyle w:val="Heading4"/>
      </w:pPr>
      <w:r>
        <w:t xml:space="preserve">Maskinsats per maskin (internkost)</w:t>
      </w:r>
    </w:p>
    <w:p>
      <w:pPr>
        <w:pStyle w:val="FirstParagraph"/>
      </w:pPr>
      <w:r>
        <w:t xml:space="preserve">Definer</w:t>
      </w:r>
      <w:r>
        <w:t xml:space="preserve"> </w:t>
      </w:r>
      <w:r>
        <w:rPr>
          <w:i/>
          <w:iCs/>
        </w:rPr>
        <w:t xml:space="preserve">praktisk kapasitet</w:t>
      </w:r>
      <w:r>
        <w:t xml:space="preserve"> </w:t>
      </w:r>
      <w:r>
        <w:t xml:space="preserve">og del årlige/ faste kost på den. Dette er i tråd med TDABC-logikken om praktisk kapasitet og kapasitetskostrate.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p</m:t>
            </m:r>
            <m:r>
              <m:t>r</m:t>
            </m:r>
          </m:sub>
        </m:sSub>
      </m:oMath>
      <w:r>
        <w:t xml:space="preserve"> </w:t>
      </w:r>
      <w:r>
        <w:t xml:space="preserve">= praktiske maskintimer/år (planlagt tid × tilgjengelighet × realistisk utnyttelse)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f</m:t>
            </m:r>
            <m:r>
              <m:t>i</m:t>
            </m:r>
            <m:r>
              <m:t>x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= årlige faste kost (avskrivning/finans, serviceavtale, vedlikehold, areal, IT/lisenser, indirekte)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v</m:t>
            </m:r>
          </m:e>
          <m:sub>
            <m:r>
              <m:t>e</m:t>
            </m:r>
            <m:r>
              <m:t>n</m:t>
            </m:r>
            <m:r>
              <m:t>e</m:t>
            </m:r>
            <m:r>
              <m:t>r</m:t>
            </m:r>
            <m:r>
              <m:t>g</m:t>
            </m:r>
            <m:r>
              <m:t>y</m:t>
            </m:r>
          </m:sub>
        </m:sSub>
      </m:oMath>
      <w:r>
        <w:t xml:space="preserve"> </w:t>
      </w:r>
      <w:r>
        <w:t xml:space="preserve">= energi per time (målt eller modellert; NIST har vist datadrevne tilnærminger for energiprediksjon fra maskin- og sensordata)</w:t>
      </w:r>
      <w:r>
        <w:t xml:space="preserve"> </w:t>
      </w:r>
      <w:hyperlink r:id="rId31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t xml:space="preserve">Da: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f</m:t>
            </m:r>
            <m:r>
              <m:t>i</m:t>
            </m:r>
            <m:r>
              <m:t>x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p</m:t>
            </m:r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e</m:t>
            </m:r>
            <m:r>
              <m:t>n</m:t>
            </m:r>
            <m:r>
              <m:t>e</m:t>
            </m:r>
            <m:r>
              <m:t>r</m:t>
            </m:r>
            <m:r>
              <m:t>g</m:t>
            </m:r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s</m:t>
            </m:r>
          </m:sub>
        </m:sSub>
      </m:oMath>
    </w:p>
    <w:bookmarkEnd w:id="49"/>
    <w:bookmarkStart w:id="50" w:name="total-kost-per-batch-og-stykk"/>
    <w:p>
      <w:pPr>
        <w:pStyle w:val="Heading4"/>
      </w:pPr>
      <w:r>
        <w:t xml:space="preserve">Total kost per batch og stykk</w:t>
      </w:r>
    </w:p>
    <w:p>
      <w:pPr>
        <w:pStyle w:val="FirstParagraph"/>
      </w:pPr>
      <w:r>
        <w:t xml:space="preserve">Batchkost: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t</m:t>
              </m:r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t</m:t>
              </m:r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q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q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t</m:t>
              </m:r>
              <m:r>
                <m:t>o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Skrap/rework kan legges inn som:</w:t>
      </w:r>
      <w:r>
        <w:t xml:space="preserve"> </w:t>
      </w:r>
      <w:r>
        <w:t xml:space="preserve">- effektivt antall deler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</m:e>
        </m:d>
      </m:oMath>
      <w:r>
        <w:br/>
      </w:r>
      <w:r>
        <w:t xml:space="preserve">- rework-tid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⋅</m:t>
        </m:r>
        <m:r>
          <m:t>k</m:t>
        </m:r>
      </m:oMath>
      <w:r>
        <w:t xml:space="preserve"> </w:t>
      </w:r>
      <w:r>
        <w:t xml:space="preserve">(k = rework‑faktor)</w:t>
      </w:r>
    </w:p>
    <w:p>
      <w:pPr>
        <w:pStyle w:val="BodyText"/>
      </w:pPr>
      <w:r>
        <w:t xml:space="preserve">Stykkkost: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t>t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/</m:t>
          </m:r>
          <m:sSub>
            <m:e>
              <m:r>
                <m:t>N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</m:oMath>
      </m:oMathPara>
    </w:p>
    <w:bookmarkEnd w:id="50"/>
    <w:bookmarkStart w:id="51" w:name="påslag-og-prising"/>
    <w:p>
      <w:pPr>
        <w:pStyle w:val="Heading4"/>
      </w:pPr>
      <w:r>
        <w:t xml:space="preserve">Påslag og prising</w:t>
      </w:r>
    </w:p>
    <w:p>
      <w:pPr>
        <w:pStyle w:val="FirstParagraph"/>
      </w:pPr>
      <w:r>
        <w:t xml:space="preserve">Pris settes ofte som: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s</m:t>
            </m:r>
            <m:r>
              <m:t>t</m:t>
            </m:r>
            <m:r>
              <m:t>k</m:t>
            </m:r>
          </m:sub>
        </m:sSub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risikotillegg</m:t>
        </m:r>
      </m:oMath>
      <w:r>
        <w:br/>
      </w:r>
      <w:r>
        <w:t xml:space="preserve">der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er målmargin.</w:t>
      </w:r>
    </w:p>
    <w:bookmarkEnd w:id="51"/>
    <w:bookmarkEnd w:id="52"/>
    <w:bookmarkStart w:id="53" w:name="usikkerhetsanalyse-anbefalt"/>
    <w:p>
      <w:pPr>
        <w:pStyle w:val="Heading3"/>
      </w:pPr>
      <w:r>
        <w:t xml:space="preserve">Usikkerhetsanalyse (anbefalt)</w:t>
      </w:r>
    </w:p>
    <w:p>
      <w:pPr>
        <w:pStyle w:val="FirstParagraph"/>
      </w:pPr>
      <w:r>
        <w:t xml:space="preserve">Industri 4.0-prising gjør det mulig å anslå</w:t>
      </w:r>
      <w:r>
        <w:t xml:space="preserve"> </w:t>
      </w:r>
      <w:r>
        <w:rPr>
          <w:b/>
          <w:bCs/>
        </w:rPr>
        <w:t xml:space="preserve">P50/P80</w:t>
      </w:r>
      <w:r>
        <w:t xml:space="preserve"> </w:t>
      </w:r>
      <w:r>
        <w:t xml:space="preserve">i stedet for kun et punktestimat:</w:t>
      </w:r>
      <w:r>
        <w:t xml:space="preserve"> </w:t>
      </w:r>
      <w:r>
        <w:t xml:space="preserve">- Bruk triangulære eller lognormale fordelinger for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q</m:t>
            </m:r>
            <m:r>
              <m:t>c</m:t>
            </m:r>
          </m:sub>
        </m:sSub>
      </m:oMath>
      <w:r>
        <w:t xml:space="preserve"> </w:t>
      </w:r>
      <w:r>
        <w:t xml:space="preserve">basert på historiske avvik per maskin/materiale.</w:t>
      </w:r>
      <w:r>
        <w:br/>
      </w:r>
      <w:r>
        <w:t xml:space="preserve">- Kjør Monte Carlo for å få fordeling på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  <m:r>
              <m:t>k</m:t>
            </m:r>
          </m:sub>
        </m:sSub>
      </m:oMath>
      <w:r>
        <w:t xml:space="preserve">.</w:t>
      </w:r>
      <w:r>
        <w:br/>
      </w:r>
      <w:r>
        <w:t xml:space="preserve">- Siter resultat som P50 (most likely) og P80 (konservativt) og la kommersiell policy velge prisnivå.</w:t>
      </w:r>
    </w:p>
    <w:p>
      <w:pPr>
        <w:pStyle w:val="BodyText"/>
      </w:pPr>
      <w:r>
        <w:t xml:space="preserve">Dette er spesielt viktig ved 5‑akse/høypresisjon, der faktisk kjøretid og risiko for rework kan avvike systematisk fra plan.</w:t>
      </w:r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</w:p>
    <w:bookmarkEnd w:id="53"/>
    <w:bookmarkStart w:id="54" w:name="foreslått-systemarkitektur"/>
    <w:p>
      <w:pPr>
        <w:pStyle w:val="Heading3"/>
      </w:pPr>
      <w:r>
        <w:t xml:space="preserve">Foreslått systemarkitektur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A[CAD/tegning + toleranser] --&gt; B[Feature extraction]</w:t>
      </w:r>
      <w:r>
        <w:br/>
      </w:r>
      <w:r>
        <w:rPr>
          <w:rStyle w:val="VerbatimChar"/>
        </w:rPr>
        <w:t xml:space="preserve">  C[CAM sim/NC-program] --&gt; D[Simulert tid]</w:t>
      </w:r>
      <w:r>
        <w:br/>
      </w:r>
      <w:r>
        <w:rPr>
          <w:rStyle w:val="VerbatimChar"/>
        </w:rPr>
        <w:t xml:space="preserve">  E[Maskindata OPC UA/MTConnect] --&gt; F[Faktisk syklus/stopphendelser]</w:t>
      </w:r>
      <w:r>
        <w:br/>
      </w:r>
      <w:r>
        <w:rPr>
          <w:rStyle w:val="VerbatimChar"/>
        </w:rPr>
        <w:t xml:space="preserve">  G[ERP/MES: ordre, routing, material, operatørlogg] --&gt; H[Jobbdatamart]</w:t>
      </w:r>
      <w:r>
        <w:br/>
      </w:r>
      <w:r>
        <w:br/>
      </w:r>
      <w:r>
        <w:rPr>
          <w:rStyle w:val="VerbatimChar"/>
        </w:rPr>
        <w:t xml:space="preserve">  B --&gt; I[Kostmotor TDABC/bottom-up]</w:t>
      </w:r>
      <w:r>
        <w:br/>
      </w:r>
      <w:r>
        <w:rPr>
          <w:rStyle w:val="VerbatimChar"/>
        </w:rPr>
        <w:t xml:space="preserve">  D --&gt; I</w:t>
      </w:r>
      <w:r>
        <w:br/>
      </w:r>
      <w:r>
        <w:rPr>
          <w:rStyle w:val="VerbatimChar"/>
        </w:rPr>
        <w:t xml:space="preserve">  F --&gt; J[Kalibrering: plan vs faktisk]</w:t>
      </w:r>
      <w:r>
        <w:br/>
      </w:r>
      <w:r>
        <w:rPr>
          <w:rStyle w:val="VerbatimChar"/>
        </w:rPr>
        <w:t xml:space="preserve">  H --&gt; I</w:t>
      </w:r>
      <w:r>
        <w:br/>
      </w:r>
      <w:r>
        <w:rPr>
          <w:rStyle w:val="VerbatimChar"/>
        </w:rPr>
        <w:t xml:space="preserve">  J --&gt; I</w:t>
      </w:r>
      <w:r>
        <w:br/>
      </w:r>
      <w:r>
        <w:br/>
      </w:r>
      <w:r>
        <w:rPr>
          <w:rStyle w:val="VerbatimChar"/>
        </w:rPr>
        <w:t xml:space="preserve">  I --&gt; K[Prisforslag + kostnadsbrudd]</w:t>
      </w:r>
      <w:r>
        <w:br/>
      </w:r>
      <w:r>
        <w:rPr>
          <w:rStyle w:val="VerbatimChar"/>
        </w:rPr>
        <w:t xml:space="preserve">  I --&gt; L[Usikkerhet P50/P80 + sensitivitet]</w:t>
      </w:r>
      <w:r>
        <w:br/>
      </w:r>
      <w:r>
        <w:rPr>
          <w:rStyle w:val="VerbatimChar"/>
        </w:rPr>
        <w:t xml:space="preserve">  K --&gt; M[Tilbuds-UI/API]</w:t>
      </w:r>
      <w:r>
        <w:br/>
      </w:r>
      <w:r>
        <w:rPr>
          <w:rStyle w:val="VerbatimChar"/>
        </w:rPr>
        <w:t xml:space="preserve">  L --&gt; M</w:t>
      </w:r>
      <w:r>
        <w:br/>
      </w:r>
      <w:r>
        <w:rPr>
          <w:rStyle w:val="VerbatimChar"/>
        </w:rPr>
        <w:t xml:space="preserve">  M --&gt; N[ERP: ordrelinje/tilbud]</w:t>
      </w:r>
    </w:p>
    <w:bookmarkEnd w:id="54"/>
    <w:bookmarkStart w:id="55" w:name="uiio-for-en-kalkulator"/>
    <w:p>
      <w:pPr>
        <w:pStyle w:val="Heading3"/>
      </w:pPr>
      <w:r>
        <w:t xml:space="preserve">UI/IO for en kalkulator</w:t>
      </w:r>
    </w:p>
    <w:p>
      <w:pPr>
        <w:pStyle w:val="FirstParagraph"/>
      </w:pPr>
      <w:r>
        <w:rPr>
          <w:b/>
          <w:bCs/>
        </w:rPr>
        <w:t xml:space="preserve">Input (UI/API)</w:t>
      </w:r>
      <w:r>
        <w:t xml:space="preserve"> </w:t>
      </w:r>
      <w:r>
        <w:t xml:space="preserve">- Del: materiale, råemne, CAD/STEP, toleranse/overflate, krav til dokumentasjon.</w:t>
      </w:r>
      <w:r>
        <w:br/>
      </w:r>
      <w:r>
        <w:t xml:space="preserve">- Prosess: velg operasjoner (dreiing/fresing/5‑akse), maskinvalg eller “auto‑valg”.</w:t>
      </w:r>
      <w:r>
        <w:br/>
      </w:r>
      <w:r>
        <w:t xml:space="preserve">- Batch:</w:t>
      </w:r>
      <w:r>
        <w:t xml:space="preserve"> </w:t>
      </w:r>
      <m:oMath>
        <m:r>
          <m:t>N</m:t>
        </m:r>
      </m:oMath>
      <w:r>
        <w:t xml:space="preserve">, leveringsdato, prioritet.</w:t>
      </w:r>
      <w:r>
        <w:br/>
      </w:r>
      <w:r>
        <w:t xml:space="preserve">- Overstyringer: “låst” setup‑tid, “låst” syklustid, spesial‑QC, risiko.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 </w:t>
      </w:r>
      <w:r>
        <w:t xml:space="preserve">- Kostnadsbrudd (programmering, setup, maskintid, operatør, verktøy, QC, etterarbeid, material, ekstern).</w:t>
      </w:r>
      <w:r>
        <w:br/>
      </w:r>
      <w:r>
        <w:t xml:space="preserve">- Prisforslag P50/P80, inkl. anbefalt risikotillegg.</w:t>
      </w:r>
      <w:r>
        <w:br/>
      </w:r>
      <w:r>
        <w:t xml:space="preserve">- Sensitivitet: hvilke parametere driver kost mest.</w:t>
      </w:r>
      <w:r>
        <w:br/>
      </w:r>
      <w:r>
        <w:t xml:space="preserve">- “Hva må forbedres for å nå target?” (digital tvilling/ML-innsikt).</w:t>
      </w:r>
    </w:p>
    <w:p>
      <w:pPr>
        <w:pStyle w:val="BodyText"/>
      </w:pPr>
      <w:r>
        <w:rPr>
          <w:b/>
          <w:bCs/>
        </w:rPr>
        <w:t xml:space="preserve">Implementeringstidslinje (foreslått)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Implementeringsløp for CNC-kalkulator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section Datagrunnlag</w:t>
      </w:r>
      <w:r>
        <w:br/>
      </w:r>
      <w:r>
        <w:rPr>
          <w:rStyle w:val="VerbatimChar"/>
        </w:rPr>
        <w:t xml:space="preserve">  Datamodell + kostsentre          :a1, 2026-03-01, 30d</w:t>
      </w:r>
      <w:r>
        <w:br/>
      </w:r>
      <w:r>
        <w:rPr>
          <w:rStyle w:val="VerbatimChar"/>
        </w:rPr>
        <w:t xml:space="preserve">  Minimum logging (maskin + MES)    :a2, 2026-03-15, 45d</w:t>
      </w:r>
      <w:r>
        <w:br/>
      </w:r>
      <w:r>
        <w:rPr>
          <w:rStyle w:val="VerbatimChar"/>
        </w:rPr>
        <w:t xml:space="preserve">  section Kalkulator v1</w:t>
      </w:r>
      <w:r>
        <w:br/>
      </w:r>
      <w:r>
        <w:rPr>
          <w:rStyle w:val="VerbatimChar"/>
        </w:rPr>
        <w:t xml:space="preserve">  Bottom-up + TDABC satser          :b1, 2026-04-01, 45d</w:t>
      </w:r>
      <w:r>
        <w:br/>
      </w:r>
      <w:r>
        <w:rPr>
          <w:rStyle w:val="VerbatimChar"/>
        </w:rPr>
        <w:t xml:space="preserve">  Rapport/tilbudseksport            :b2, 2026-05-01, 30d</w:t>
      </w:r>
      <w:r>
        <w:br/>
      </w:r>
      <w:r>
        <w:rPr>
          <w:rStyle w:val="VerbatimChar"/>
        </w:rPr>
        <w:t xml:space="preserve">  section Industri 4.0-lag</w:t>
      </w:r>
      <w:r>
        <w:br/>
      </w:r>
      <w:r>
        <w:rPr>
          <w:rStyle w:val="VerbatimChar"/>
        </w:rPr>
        <w:t xml:space="preserve">  OPC UA/MTConnect ingest            :c1, 2026-05-15, 60d</w:t>
      </w:r>
      <w:r>
        <w:br/>
      </w:r>
      <w:r>
        <w:rPr>
          <w:rStyle w:val="VerbatimChar"/>
        </w:rPr>
        <w:t xml:space="preserve">  Kalibrering plan vs faktisk        :c2, 2026-06-15, 60d</w:t>
      </w:r>
      <w:r>
        <w:br/>
      </w:r>
      <w:r>
        <w:rPr>
          <w:rStyle w:val="VerbatimChar"/>
        </w:rPr>
        <w:t xml:space="preserve">  section ML og kontinuerlig forbedring</w:t>
      </w:r>
      <w:r>
        <w:br/>
      </w:r>
      <w:r>
        <w:rPr>
          <w:rStyle w:val="VerbatimChar"/>
        </w:rPr>
        <w:t xml:space="preserve">  ML for syklus + ikke-skjærende tid :d1, 2026-08-01, 90d</w:t>
      </w:r>
      <w:r>
        <w:br/>
      </w:r>
      <w:r>
        <w:rPr>
          <w:rStyle w:val="VerbatimChar"/>
        </w:rPr>
        <w:t xml:space="preserve">  Kontinuerlig drift + governance    :d2, 2026-09-01, 120d</w:t>
      </w:r>
    </w:p>
    <w:bookmarkEnd w:id="55"/>
    <w:bookmarkEnd w:id="56"/>
    <w:bookmarkStart w:id="69" w:name="X04c8d30d11a341d2d9155aead02b0e82493167d"/>
    <w:p>
      <w:pPr>
        <w:pStyle w:val="Heading2"/>
      </w:pPr>
      <w:r>
        <w:t xml:space="preserve">Norske prisnivåer, timepriser og kontraktsmodeller i Olje &amp; Gass og Forsvar</w:t>
      </w:r>
    </w:p>
    <w:bookmarkStart w:id="57" w:name="Xf8ac36177bcc7bc5f366be0fd720379ef423fa6"/>
    <w:p>
      <w:pPr>
        <w:pStyle w:val="Heading3"/>
      </w:pPr>
      <w:r>
        <w:t xml:space="preserve">Vi har funnet åpne, norske prispeiler – men begrenset transparens for høypresisjons CNC</w:t>
      </w:r>
    </w:p>
    <w:p>
      <w:pPr>
        <w:pStyle w:val="FirstParagraph"/>
      </w:pPr>
      <w:r>
        <w:t xml:space="preserve">I høypresisjonssegmentet er konkrete timepriser ofte del av tilbud (konfidensielt), og publiseres sjelden som prislister. Åpne kilder kan likevel gi “gulv” og indikasjoner.</w:t>
      </w:r>
    </w:p>
    <w:p>
      <w:pPr>
        <w:pStyle w:val="BodyText"/>
      </w:pPr>
      <w:r>
        <w:rPr>
          <w:b/>
          <w:bCs/>
        </w:rPr>
        <w:t xml:space="preserve">Eksempel på offentlig prisliste (Norge):</w:t>
      </w:r>
      <w:r>
        <w:t xml:space="preserve"> </w:t>
      </w:r>
      <w:r>
        <w:t xml:space="preserve">Prisliste 2024 fra Selfa</w:t>
      </w:r>
      <w:hyperlink r:id="rId26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viser timepriser for arbeid i størrelsesorden</w:t>
      </w:r>
      <w:r>
        <w:t xml:space="preserve"> </w:t>
      </w:r>
      <w:r>
        <w:rPr>
          <w:b/>
          <w:bCs/>
        </w:rPr>
        <w:t xml:space="preserve">~976–980 kr/time eks. mva</w:t>
      </w:r>
      <w:r>
        <w:t xml:space="preserve"> </w:t>
      </w:r>
      <w:r>
        <w:t xml:space="preserve">for flere fagkategorier (bl.a. mekanisk/sveis, plastarbeid, elektrisk), og høyere for konsulent (1 424 kr/time eks. mva).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br/>
      </w:r>
      <w:r>
        <w:t xml:space="preserve">Dette er ikke “CNC‑spesifikk høypresisjon” i Olje &amp; Gass/Forsvar, men gir et åpent datapunkt for norsk verkstedtime i et industrielt tjenestemiljø.</w:t>
      </w:r>
    </w:p>
    <w:bookmarkEnd w:id="57"/>
    <w:bookmarkStart w:id="61" w:name="X70eb6443c84a14163a786de1b55b97b8acc95f3"/>
    <w:p>
      <w:pPr>
        <w:pStyle w:val="Heading3"/>
      </w:pPr>
      <w:r>
        <w:t xml:space="preserve">Kontraktsmodeller i offentlig sektor som påvirker timeprislogikk</w:t>
      </w:r>
    </w:p>
    <w:p>
      <w:pPr>
        <w:pStyle w:val="FirstParagraph"/>
      </w:pPr>
      <w:r>
        <w:t xml:space="preserve">Offentlige rammeavtaler bruker ofte</w:t>
      </w:r>
      <w:r>
        <w:t xml:space="preserve"> </w:t>
      </w:r>
      <w:r>
        <w:rPr>
          <w:b/>
          <w:bCs/>
        </w:rPr>
        <w:t xml:space="preserve">prisskjema</w:t>
      </w:r>
      <w:r>
        <w:t xml:space="preserve"> </w:t>
      </w:r>
      <w:r>
        <w:t xml:space="preserve">med enhetspriser og/eller timesatser. Et konkret eksempel fra Forsvarsbygg</w:t>
      </w:r>
      <w:hyperlink r:id="rId2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viser at oppdragsgiver endrer krav slik at</w:t>
      </w:r>
      <w:r>
        <w:t xml:space="preserve"> </w:t>
      </w:r>
      <w:r>
        <w:rPr>
          <w:b/>
          <w:bCs/>
        </w:rPr>
        <w:t xml:space="preserve">timepriser “i liten grad benyttes”</w:t>
      </w:r>
      <w:r>
        <w:t xml:space="preserve"> </w:t>
      </w:r>
      <w:r>
        <w:t xml:space="preserve">og kun brukes der prisskjema ikke har dekkende enhetspris.</w:t>
      </w:r>
      <w:r>
        <w:t xml:space="preserve"> </w:t>
      </w:r>
      <w:hyperlink r:id="rId58">
        <w:r>
          <w:rPr>
            <w:rStyle w:val="Hyperlink"/>
          </w:rPr>
          <w:t xml:space="preserve">[35]</w:t>
        </w:r>
      </w:hyperlink>
      <w:r>
        <w:br/>
      </w:r>
      <w:r>
        <w:t xml:space="preserve">Dette illustrerer en viktig mekanisme for deres kalkulator: vedlikehold/servicemarkedet kan prises med enhetspriser + time som “fallback”, mens produksjonsjobber ofte prises per del/batch.</w:t>
      </w:r>
    </w:p>
    <w:p>
      <w:pPr>
        <w:pStyle w:val="BodyText"/>
      </w:pPr>
      <w:r>
        <w:t xml:space="preserve">Et annet eksempel på rammeavtalelogikk er en mekanisk tjenesteanskaffelse via Oslo kommune</w:t>
      </w:r>
      <w:hyperlink r:id="rId59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(v/ Vann- og avløpsetaten) med estimert verdi og pris som tildelingskriterium, samt dokumentstruktur med prisskjema og sikkerhetsvedlegg.</w:t>
      </w:r>
      <w:r>
        <w:t xml:space="preserve"> </w:t>
      </w:r>
      <w:hyperlink r:id="rId60">
        <w:r>
          <w:rPr>
            <w:rStyle w:val="Hyperlink"/>
          </w:rPr>
          <w:t xml:space="preserve">[37]</w:t>
        </w:r>
      </w:hyperlink>
    </w:p>
    <w:bookmarkEnd w:id="61"/>
    <w:bookmarkStart w:id="64" w:name="premiumdrivere-i-forsvar"/>
    <w:p>
      <w:pPr>
        <w:pStyle w:val="Heading3"/>
      </w:pPr>
      <w:r>
        <w:t xml:space="preserve">Premiumdrivere i Forsvar</w:t>
      </w:r>
    </w:p>
    <w:p>
      <w:pPr>
        <w:pStyle w:val="FirstParagraph"/>
      </w:pPr>
      <w:r>
        <w:t xml:space="preserve">Forsvarsleveranser har ofte eksplisitte kvalitetssystemkrav. entity["company","Kongsberg Defence &amp; Aerospace","defence contractor norway"] lister AQAP-standarder (f.eks. AQAP‑2110/AQAP‑2310) som relevante når leveranser er underlagt NATO-kvalitetskrav.</w:t>
      </w:r>
      <w:r>
        <w:t xml:space="preserve"> </w:t>
      </w:r>
      <w:hyperlink r:id="rId62">
        <w:r>
          <w:rPr>
            <w:rStyle w:val="Hyperlink"/>
          </w:rPr>
          <w:t xml:space="preserve">[38]</w:t>
        </w:r>
      </w:hyperlink>
      <w:r>
        <w:br/>
      </w:r>
      <w:r>
        <w:t xml:space="preserve">Et konkret norsk bevis på praksis er et dokument der Forsvarsmateriell</w:t>
      </w:r>
      <w:hyperlink r:id="rId2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godkjenner en leverandørs kvalitetssystem i henhold til</w:t>
      </w:r>
      <w:r>
        <w:t xml:space="preserve"> </w:t>
      </w:r>
      <w:r>
        <w:rPr>
          <w:b/>
          <w:bCs/>
        </w:rPr>
        <w:t xml:space="preserve">AQAP 2110</w:t>
      </w:r>
      <w:r>
        <w:t xml:space="preserve"> </w:t>
      </w:r>
      <w:r>
        <w:t xml:space="preserve">for en tidsperiode.</w:t>
      </w:r>
      <w:r>
        <w:t xml:space="preserve"> </w:t>
      </w:r>
      <w:hyperlink r:id="rId63">
        <w:r>
          <w:rPr>
            <w:rStyle w:val="Hyperlink"/>
          </w:rPr>
          <w:t xml:space="preserve">[40]</w:t>
        </w:r>
      </w:hyperlink>
      <w:r>
        <w:br/>
      </w:r>
      <w:r>
        <w:t xml:space="preserve">Dette påvirker prising ved at:</w:t>
      </w:r>
      <w:r>
        <w:t xml:space="preserve"> </w:t>
      </w:r>
      <w:r>
        <w:t xml:space="preserve">- QC/inspeksjon, dokumentasjon, sporbarhet og revisjonsberedskap gir mer tid per batch (og indirekte kost).</w:t>
      </w:r>
      <w:r>
        <w:br/>
      </w:r>
      <w:r>
        <w:t xml:space="preserve">- Risiko (skrap/rework) blir dyrere når dokumentasjonskrav forsterkes.</w:t>
      </w:r>
    </w:p>
    <w:p>
      <w:pPr>
        <w:pStyle w:val="BodyText"/>
      </w:pPr>
      <w:r>
        <w:t xml:space="preserve">DNV</w:t>
      </w:r>
      <w:hyperlink r:id="rId2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beskriver at AQAP-standardene er NATO-standarder som etablerer krav for forsvarskvalitetssikring i leverandørkjeder.</w:t>
      </w:r>
      <w:r>
        <w:t xml:space="preserve"> </w:t>
      </w:r>
      <w:hyperlink r:id="rId59">
        <w:r>
          <w:rPr>
            <w:rStyle w:val="Hyperlink"/>
          </w:rPr>
          <w:t xml:space="preserve">[42]</w:t>
        </w:r>
      </w:hyperlink>
    </w:p>
    <w:bookmarkEnd w:id="64"/>
    <w:bookmarkStart w:id="68" w:name="X7a384f1886f99c739f2ff74d7a3f5b151547ace"/>
    <w:p>
      <w:pPr>
        <w:pStyle w:val="Heading3"/>
      </w:pPr>
      <w:r>
        <w:t xml:space="preserve">Premiumdrivere i Olje &amp; Gass på norsk sokkel</w:t>
      </w:r>
    </w:p>
    <w:p>
      <w:pPr>
        <w:pStyle w:val="FirstParagraph"/>
      </w:pPr>
      <w:r>
        <w:t xml:space="preserve">Standard Norge</w:t>
      </w:r>
      <w:hyperlink r:id="rId5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beskriver at NORSOK-standarder utvikles av norsk petroleumsindustri og at anerkjente standarder (NORSOK og ISO) utgjør et viktig grunnlag for regelverket på norsk sokkel.</w:t>
      </w:r>
      <w:r>
        <w:t xml:space="preserve"> </w:t>
      </w:r>
      <w:hyperlink r:id="rId65">
        <w:r>
          <w:rPr>
            <w:rStyle w:val="Hyperlink"/>
          </w:rPr>
          <w:t xml:space="preserve">[44]</w:t>
        </w:r>
      </w:hyperlink>
      <w:r>
        <w:br/>
      </w:r>
      <w:r>
        <w:t xml:space="preserve">Videre brukes leverandørkvalifisering som risikostyring i forsyningskjeden; Achilles JQS beskrives som et pre‑kvalifiserings-/leverandørregister brukt av kjøpere i norsk/dansk Olje &amp; Gass for å håndtere leverandørinformasjon og risiko.</w:t>
      </w:r>
      <w:r>
        <w:t xml:space="preserve"> </w:t>
      </w:r>
      <w:hyperlink r:id="rId66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Prisimplikasjon:</w:t>
      </w:r>
      <w:r>
        <w:t xml:space="preserve"> </w:t>
      </w:r>
      <w:r>
        <w:t xml:space="preserve">NORSOK-/kvalifiseringsregimer påvirker kost via (a) strengere prosess- og inspeksjonskrav, (b) dokumentasjon, (c) krav til sporbarhet/materialsertifikater, og (d) ofte lavere fleksibilitet (mer “overhead per jobb”).</w:t>
      </w:r>
      <w:r>
        <w:t xml:space="preserve"> </w:t>
      </w:r>
      <w:hyperlink r:id="rId67">
        <w:r>
          <w:rPr>
            <w:rStyle w:val="Hyperlink"/>
          </w:rPr>
          <w:t xml:space="preserve">[46]</w:t>
        </w:r>
      </w:hyperlink>
    </w:p>
    <w:bookmarkEnd w:id="68"/>
    <w:bookmarkEnd w:id="69"/>
    <w:bookmarkStart w:id="77" w:name="Xe5e780e6c4e4b2a2d5b147d825b1110256ac6e4"/>
    <w:p>
      <w:pPr>
        <w:pStyle w:val="Heading2"/>
      </w:pPr>
      <w:r>
        <w:t xml:space="preserve">Case-beregninger og anbefalt prisingspraksis</w:t>
      </w:r>
    </w:p>
    <w:bookmarkStart w:id="70" w:name="hvordan-definere-timepris-per-cnc-maskin"/>
    <w:p>
      <w:pPr>
        <w:pStyle w:val="Heading3"/>
      </w:pPr>
      <w:r>
        <w:t xml:space="preserve">Hvordan definere timepris per CNC-maskin</w:t>
      </w:r>
    </w:p>
    <w:p>
      <w:pPr>
        <w:pStyle w:val="FirstParagraph"/>
      </w:pPr>
      <w:r>
        <w:rPr>
          <w:b/>
          <w:bCs/>
        </w:rPr>
        <w:t xml:space="preserve">Fordeler</w:t>
      </w:r>
      <w:r>
        <w:t xml:space="preserve"> </w:t>
      </w:r>
      <w:r>
        <w:t xml:space="preserve">- Gir et konsistent “språk” internt for kapasitetskost, sammenligning av jobber og prioritering.</w:t>
      </w:r>
      <w:r>
        <w:br/>
      </w:r>
      <w:r>
        <w:t xml:space="preserve">- Passer godt med TDABC: maskin er et kostsenter med praktisk kapasitet og kapasitetskostrate.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br/>
      </w:r>
      <w:r>
        <w:t xml:space="preserve">- Sensor-/maskindata kan oppdatere utnyttelsesgrad og faktisk syklustid løpende (Industri 4.0).</w:t>
      </w:r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Ulemper</w:t>
      </w:r>
      <w:r>
        <w:t xml:space="preserve"> </w:t>
      </w:r>
      <w:r>
        <w:t xml:space="preserve">- Kan skjule at “operatørintensitet” varierer (robotcelle vs manuell).</w:t>
      </w:r>
      <w:r>
        <w:br/>
      </w:r>
      <w:r>
        <w:t xml:space="preserve">- Risiko for feilprising hvis timeprisen “bærer” for mye indirekte på jobber med atypisk setup/QC (typisk prototyper og høypresisjon).</w:t>
      </w:r>
      <w:r>
        <w:br/>
      </w:r>
      <w:r>
        <w:t xml:space="preserve">- I kunderelasjon er “timepris” ofte mindre relevant enn stykkpris/leveranseverdi.</w:t>
      </w:r>
    </w:p>
    <w:p>
      <w:pPr>
        <w:pStyle w:val="BodyText"/>
      </w:pPr>
      <w:r>
        <w:rPr>
          <w:b/>
          <w:bCs/>
        </w:rPr>
        <w:t xml:space="preserve">Anbefaling (praktisk)</w:t>
      </w:r>
      <w:r>
        <w:t xml:space="preserve"> </w:t>
      </w:r>
      <w:r>
        <w:t xml:space="preserve">- Definer to satser: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Maskinsats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(ressurskost for maskin/celle uten direkte operatør)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Arbeidssats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(operatør) + egne satser for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  <m:r>
              <m:t>c</m:t>
            </m:r>
          </m:sub>
        </m:sSub>
      </m:oMath>
      <w:r>
        <w:t xml:space="preserve"> </w:t>
      </w:r>
      <w:r>
        <w:t xml:space="preserve">og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n</m:t>
            </m:r>
            <m:r>
              <m:t>g</m:t>
            </m:r>
          </m:sub>
        </m:sSub>
      </m:oMath>
      <w:r>
        <w:br/>
      </w:r>
      <w:r>
        <w:t xml:space="preserve">- La kalkulatoren alltid produsere</w:t>
      </w:r>
      <w:r>
        <w:t xml:space="preserve"> </w:t>
      </w:r>
      <w:r>
        <w:rPr>
          <w:b/>
          <w:bCs/>
        </w:rPr>
        <w:t xml:space="preserve">stykkpris per del/batch</w:t>
      </w:r>
      <w:r>
        <w:t xml:space="preserve">, men med transparens tilbake til “maskintimer × sats”.</w:t>
      </w:r>
      <w:r>
        <w:br/>
      </w:r>
      <w:r>
        <w:t xml:space="preserve">- Bruk</w:t>
      </w:r>
      <w:r>
        <w:t xml:space="preserve"> </w:t>
      </w:r>
      <w:r>
        <w:rPr>
          <w:b/>
          <w:bCs/>
        </w:rPr>
        <w:t xml:space="preserve">minstebeløp</w:t>
      </w:r>
      <w:r>
        <w:t xml:space="preserve"> </w:t>
      </w:r>
      <w:r>
        <w:t xml:space="preserve">eller eksplisitt “setup + programmering”-linje for engangsjobber.</w:t>
      </w:r>
    </w:p>
    <w:bookmarkEnd w:id="70"/>
    <w:bookmarkStart w:id="71" w:name="alternative-prisingsenheter"/>
    <w:p>
      <w:pPr>
        <w:pStyle w:val="Heading3"/>
      </w:pPr>
      <w:r>
        <w:t xml:space="preserve">Alternative prisingsenheter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 del (stykkpris):</w:t>
      </w:r>
      <w:r>
        <w:t xml:space="preserve"> </w:t>
      </w:r>
      <w:r>
        <w:t xml:space="preserve">best for produksjonskontrakter; krever god modell for amortisering av setup/programmering.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 syklus/spindeltime:</w:t>
      </w:r>
      <w:r>
        <w:t xml:space="preserve"> </w:t>
      </w:r>
      <w:r>
        <w:t xml:space="preserve">nyttig internt for effektivitet, mindre egnet kommersielt alene.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 verdi/risiko (value-based):</w:t>
      </w:r>
      <w:r>
        <w:t xml:space="preserve"> </w:t>
      </w:r>
      <w:r>
        <w:t xml:space="preserve">aktuelt for forsvar/Olje &amp; Gass når toleranser, sporbarhet og tidskritikalitet skaper høy verdi; krever moden kommersiell policy og dokumentert leveranserisiko.</w:t>
      </w:r>
    </w:p>
    <w:bookmarkEnd w:id="71"/>
    <w:bookmarkStart w:id="72" w:name="Xb4dc4e949ea34ab26315160d2de77ca46ac7859"/>
    <w:p>
      <w:pPr>
        <w:pStyle w:val="Heading3"/>
      </w:pPr>
      <w:r>
        <w:t xml:space="preserve">Eksempel: foreslåtte satser per maskinklasse (for kalkulatorens “default”, skal kalibreres)</w:t>
      </w:r>
    </w:p>
    <w:p>
      <w:pPr>
        <w:pStyle w:val="FirstParagraph"/>
      </w:pPr>
      <w:r>
        <w:rPr>
          <w:b/>
          <w:bCs/>
        </w:rPr>
        <w:t xml:space="preserve">Merk:</w:t>
      </w:r>
      <w:r>
        <w:t xml:space="preserve"> </w:t>
      </w:r>
      <w:r>
        <w:t xml:space="preserve">Tallene under er</w:t>
      </w:r>
      <w:r>
        <w:t xml:space="preserve"> </w:t>
      </w:r>
      <w:r>
        <w:rPr>
          <w:i/>
          <w:iCs/>
        </w:rPr>
        <w:t xml:space="preserve">illustrative</w:t>
      </w:r>
      <w:r>
        <w:t xml:space="preserve"> </w:t>
      </w:r>
      <w:r>
        <w:t xml:space="preserve">og må erstattes av deres egne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  <m:r>
              <m:t>i</m:t>
            </m:r>
            <m:r>
              <m:t>x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p</m:t>
            </m:r>
            <m:r>
              <m:t>r</m:t>
            </m:r>
          </m:sub>
        </m:sSub>
      </m:oMath>
      <w:r>
        <w:t xml:space="preserve">, energidata og lønn/overhead. Åpne norske datapunkter for verkstedtime finnes, men er ikke direkte “CNC høypresisjon”.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Ressurs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Eksempel sats (NOK/h)</w:t>
            </w:r>
          </w:p>
        </w:tc>
        <w:tc>
          <w:tcPr/>
          <w:p>
            <w:pPr>
              <w:pStyle w:val="Compact"/>
            </w:pPr>
            <w:r>
              <w:t xml:space="preserve">Kommentar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2‑akse CNC-dreiebenk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1 150</w:t>
            </w:r>
          </w:p>
        </w:tc>
        <w:tc>
          <w:tcPr/>
          <w:p>
            <w:pPr>
              <w:pStyle w:val="Compact"/>
            </w:pPr>
            <w:r>
              <w:t xml:space="preserve">Kapitalkost moderat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3‑akse VMC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1 300</w:t>
            </w:r>
          </w:p>
        </w:tc>
        <w:tc>
          <w:tcPr/>
          <w:p>
            <w:pPr>
              <w:pStyle w:val="Compact"/>
            </w:pPr>
            <w:r>
              <w:t xml:space="preserve">Typisk “allround”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5‑akse maskineringssenter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1 850</w:t>
            </w:r>
          </w:p>
        </w:tc>
        <w:tc>
          <w:tcPr/>
          <w:p>
            <w:pPr>
              <w:pStyle w:val="Compact"/>
            </w:pPr>
            <w:r>
              <w:t xml:space="preserve">Høy CAPEX + risiko + ofte mer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Operatør (maskin)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</w:pPr>
            <w:r>
              <w:t xml:space="preserve">Skift-/kompetanseavhengig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Programmering/CAM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Inkl. indirekte ingeniørkost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QC/CMM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q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Måleutstyr + kompetanse</w:t>
            </w:r>
          </w:p>
        </w:tc>
      </w:tr>
    </w:tbl>
    <w:bookmarkEnd w:id="72"/>
    <w:bookmarkStart w:id="73" w:name="case-a-enkeltstykke-høypresis-5akse-fres"/>
    <w:p>
      <w:pPr>
        <w:pStyle w:val="Heading3"/>
      </w:pPr>
      <w:r>
        <w:t xml:space="preserve">Case A: Enkeltstykke, høypresis 5‑akse fres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material: høylegert (vanskelig bearbeiding), stram toleranse</w:t>
      </w:r>
      <w:r>
        <w:br/>
      </w:r>
      <w:r>
        <w:t xml:space="preserve">- Operasjoner: 5‑akse fres + omfattende QC</w:t>
      </w:r>
    </w:p>
    <w:p>
      <w:pPr>
        <w:pStyle w:val="BodyText"/>
      </w:pPr>
      <w:r>
        <w:rPr>
          <w:b/>
          <w:bCs/>
        </w:rPr>
        <w:t xml:space="preserve">Tids- og kostmodell (eksempel)</w:t>
      </w:r>
      <w:r>
        <w:t xml:space="preserve"> </w:t>
      </w:r>
      <w:r>
        <w:t xml:space="preserve">| Kostelement | Tid / mengde | Sats | Kost (NOK)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Programmering/CAM | 6,0 h | 900 | 5 400 |</w:t>
      </w:r>
      <w:r>
        <w:t xml:space="preserve"> </w:t>
      </w:r>
      <w:r>
        <w:t xml:space="preserve">| Setup/opp-spenning (maskin) | 2,0 h | 1 850 | 3 700 |</w:t>
      </w:r>
      <w:r>
        <w:t xml:space="preserve"> </w:t>
      </w:r>
      <w:r>
        <w:t xml:space="preserve">| Setup/opp-spenning (operatør) | 2,0 h | 750 | 1 500 |</w:t>
      </w:r>
      <w:r>
        <w:t xml:space="preserve"> </w:t>
      </w:r>
      <w:r>
        <w:t xml:space="preserve">| Maskintid syklus | 1,2 h | 1 850 | 2 220 |</w:t>
      </w:r>
      <w:r>
        <w:t xml:space="preserve"> </w:t>
      </w:r>
      <w:r>
        <w:t xml:space="preserve">| Operatør under kjøring/håndtering | 0,8 h | 750 | 600 |</w:t>
      </w:r>
      <w:r>
        <w:t xml:space="preserve"> </w:t>
      </w:r>
      <w:r>
        <w:t xml:space="preserve">| Etterarbeid (deburr/vask) | 0,5 h | 750 | 375 |</w:t>
      </w:r>
      <w:r>
        <w:t xml:space="preserve"> </w:t>
      </w:r>
      <w:r>
        <w:t xml:space="preserve">| QC (førsteartikkel + rapport) | 1,5 h | 950 | 1 425 |</w:t>
      </w:r>
      <w:r>
        <w:t xml:space="preserve"> </w:t>
      </w:r>
      <w:r>
        <w:t xml:space="preserve">| Verktøyslitasje/spesial | – | – | 1 200 |</w:t>
      </w:r>
      <w:r>
        <w:t xml:space="preserve"> </w:t>
      </w:r>
      <w:r>
        <w:t xml:space="preserve">| Material + svinn | – | – | 1 800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Sum internkost</w:t>
      </w:r>
      <w:r>
        <w:t xml:space="preserve"> </w:t>
      </w:r>
      <w:r>
        <w:t xml:space="preserve">| | |</w:t>
      </w:r>
      <w:r>
        <w:t xml:space="preserve"> </w:t>
      </w:r>
      <w:r>
        <w:rPr>
          <w:b/>
          <w:bCs/>
        </w:rPr>
        <w:t xml:space="preserve">18 220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Risikotillegg og margin (eksempel)</w:t>
      </w:r>
      <w:r>
        <w:t xml:space="preserve"> </w:t>
      </w:r>
      <w:r>
        <w:t xml:space="preserve">- Skraprisiko 10% ⇒ kost / (1–0,10) ≈ 20 244</w:t>
      </w:r>
      <w:r>
        <w:br/>
      </w:r>
      <w:r>
        <w:t xml:space="preserve">- + 20% margin ⇒</w:t>
      </w:r>
      <w:r>
        <w:t xml:space="preserve"> </w:t>
      </w:r>
      <w:r>
        <w:rPr>
          <w:b/>
          <w:bCs/>
        </w:rPr>
        <w:t xml:space="preserve">24 300 NOK</w:t>
      </w:r>
      <w:r>
        <w:t xml:space="preserve"> </w:t>
      </w:r>
      <w:r>
        <w:t xml:space="preserve">(avrundet stykkpris)</w:t>
      </w:r>
    </w:p>
    <w:bookmarkEnd w:id="73"/>
    <w:bookmarkStart w:id="74" w:name="Xf2fde74e0cd97c03f51ce367ce2ec09e74782b4"/>
    <w:p>
      <w:pPr>
        <w:pStyle w:val="Heading3"/>
      </w:pPr>
      <w:r>
        <w:t xml:space="preserve">Case B: Liten serie, turn‑mill / 3‑akse + dreiing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moderat toleranse, kombinerte operasjoner (dreiing + fresing)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Kostelement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 / mengde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Kost (NOK)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Programmering/CAM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(maskin/celle)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(operatør)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Syklustid per 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 h ×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Operatør/håndtering per 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 h ×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Etterarbeid per 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 h ×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(stikkprøver + sluttkontroll)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 h ×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Verktøy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 internkost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28 875</w:t>
            </w:r>
          </w:p>
        </w:tc>
      </w:tr>
    </w:tbl>
    <w:p>
      <w:pPr>
        <w:pStyle w:val="BodyText"/>
      </w:pPr>
      <w:r>
        <w:t xml:space="preserve">Stykkkost: 28 875 / 20 =</w:t>
      </w:r>
      <w:r>
        <w:t xml:space="preserve"> </w:t>
      </w:r>
      <w:r>
        <w:rPr>
          <w:b/>
          <w:bCs/>
        </w:rPr>
        <w:t xml:space="preserve">1 444 NOK/stk</w:t>
      </w:r>
      <w:r>
        <w:br/>
      </w:r>
      <w:r>
        <w:t xml:space="preserve">Legg på (eksempel) 15% margin ⇒</w:t>
      </w:r>
      <w:r>
        <w:t xml:space="preserve"> </w:t>
      </w:r>
      <w:r>
        <w:rPr>
          <w:b/>
          <w:bCs/>
        </w:rPr>
        <w:t xml:space="preserve">1 660 NOK/stk</w:t>
      </w:r>
      <w:r>
        <w:t xml:space="preserve"> </w:t>
      </w:r>
      <w:r>
        <w:t xml:space="preserve">(tilbud), batch ≈</w:t>
      </w:r>
      <w:r>
        <w:t xml:space="preserve"> </w:t>
      </w:r>
      <w:r>
        <w:rPr>
          <w:b/>
          <w:bCs/>
        </w:rPr>
        <w:t xml:space="preserve">33 200 NOK</w:t>
      </w:r>
      <w:r>
        <w:t xml:space="preserve">.</w:t>
      </w:r>
    </w:p>
    <w:bookmarkEnd w:id="74"/>
    <w:bookmarkStart w:id="75" w:name="Xc84abfcf298c6426a44802caa6bd2fe6eab5fd8"/>
    <w:p>
      <w:pPr>
        <w:pStyle w:val="Heading3"/>
      </w:pPr>
      <w:r>
        <w:t xml:space="preserve">Case C: Stor serie, 3‑akse med palett/automatisering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 god repeterbarhet, lav toleransekompleksitet, høy utnyttelse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Kostelement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 / mengde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Kost (NOK)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Programmering/CAM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(maskin)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(operatør)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Syklustid per 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 h ×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Operatør/håndtering per 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 h ×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(SPC/utvalg)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 h ×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Verktøy/forbruk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 internkost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112 450</w:t>
            </w:r>
          </w:p>
        </w:tc>
      </w:tr>
    </w:tbl>
    <w:p>
      <w:pPr>
        <w:pStyle w:val="BodyText"/>
      </w:pPr>
      <w:r>
        <w:t xml:space="preserve">Stykkkost: 112 450 / 500 =</w:t>
      </w:r>
      <w:r>
        <w:t xml:space="preserve"> </w:t>
      </w:r>
      <w:r>
        <w:rPr>
          <w:b/>
          <w:bCs/>
        </w:rPr>
        <w:t xml:space="preserve">225 NOK/stk</w:t>
      </w:r>
      <w:r>
        <w:br/>
      </w:r>
      <w:r>
        <w:t xml:space="preserve">+ 12% margin ⇒</w:t>
      </w:r>
      <w:r>
        <w:t xml:space="preserve"> </w:t>
      </w:r>
      <w:r>
        <w:rPr>
          <w:b/>
          <w:bCs/>
        </w:rPr>
        <w:t xml:space="preserve">252 NOK/stk</w:t>
      </w:r>
      <w:r>
        <w:t xml:space="preserve"> </w:t>
      </w:r>
      <w:r>
        <w:t xml:space="preserve">(tilbud), batch ≈</w:t>
      </w:r>
      <w:r>
        <w:t xml:space="preserve"> </w:t>
      </w:r>
      <w:r>
        <w:rPr>
          <w:b/>
          <w:bCs/>
        </w:rPr>
        <w:t xml:space="preserve">126 000 NOK</w:t>
      </w:r>
      <w:r>
        <w:t xml:space="preserve">.</w:t>
      </w:r>
    </w:p>
    <w:bookmarkEnd w:id="75"/>
    <w:bookmarkStart w:id="76" w:name="videre-validering-og-implementering"/>
    <w:p>
      <w:pPr>
        <w:pStyle w:val="Heading3"/>
      </w:pPr>
      <w:r>
        <w:t xml:space="preserve">Videre validering og implementering</w:t>
      </w:r>
    </w:p>
    <w:p>
      <w:pPr>
        <w:pStyle w:val="FirstParagraph"/>
      </w:pPr>
      <w:r>
        <w:rPr>
          <w:b/>
          <w:bCs/>
        </w:rPr>
        <w:t xml:space="preserve">Kilder som bør prioriteres i implementeringen</w:t>
      </w:r>
      <w:r>
        <w:t xml:space="preserve"> </w:t>
      </w:r>
      <w:r>
        <w:t xml:space="preserve">- ISO 23247 (digital tvilling rammeverk) og NIST sin analyse/fortolkning av serien.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br/>
      </w:r>
      <w:r>
        <w:t xml:space="preserve">- OPC UA/IEC 62541 (semantisk interoperabilitet) og MTConnect for maskindata.</w:t>
      </w:r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  <w:r>
        <w:br/>
      </w:r>
      <w:r>
        <w:t xml:space="preserve">- ANSI/ISA‑95 / IEC 62264 for ERP–MES integrasjon.</w:t>
      </w:r>
      <w:r>
        <w:t xml:space="preserve"> </w:t>
      </w:r>
      <w:hyperlink r:id="rId43">
        <w:r>
          <w:rPr>
            <w:rStyle w:val="Hyperlink"/>
          </w:rPr>
          <w:t xml:space="preserve">[28]</w:t>
        </w:r>
      </w:hyperlink>
      <w:r>
        <w:br/>
      </w:r>
      <w:r>
        <w:t xml:space="preserve">- Forskning på tidsestimat i 3‑akse/5‑akse og feature-baserte metoder.</w:t>
      </w:r>
      <w:r>
        <w:t xml:space="preserve"> </w:t>
      </w:r>
      <w:hyperlink r:id="rId39">
        <w:r>
          <w:rPr>
            <w:rStyle w:val="Hyperlink"/>
          </w:rPr>
          <w:t xml:space="preserve">[47]</w:t>
        </w:r>
      </w:hyperlink>
      <w:r>
        <w:br/>
      </w:r>
      <w:r>
        <w:t xml:space="preserve">- Norsk kontekst: NORSOK-regimet (Standard Norge) og defense quality (AQAP) nivå/krav.</w:t>
      </w:r>
      <w:r>
        <w:t xml:space="preserve"> </w:t>
      </w:r>
      <w:hyperlink r:id="rId67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b/>
          <w:bCs/>
        </w:rPr>
        <w:t xml:space="preserve">Praktiske valideringssteg (anbefalt)</w:t>
      </w:r>
      <w:r>
        <w:t xml:space="preserve"> </w:t>
      </w:r>
      <w:r>
        <w:t xml:space="preserve">- Kjør “shadow quoting”: kalkulatoren regner parallelt med dagens metode i 50–200 jobber.</w:t>
      </w:r>
      <w:r>
        <w:br/>
      </w:r>
      <w:r>
        <w:t xml:space="preserve">- Mål tre viktige avvik: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  <m:r>
              <m:t>u</m:t>
            </m:r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q</m:t>
            </m:r>
            <m:r>
              <m:t>c</m:t>
            </m:r>
          </m:sub>
        </m:sSub>
      </m:oMath>
      <w:r>
        <w:t xml:space="preserve"> </w:t>
      </w:r>
      <w:r>
        <w:t xml:space="preserve">per maskin/materiale.</w:t>
      </w:r>
      <w:r>
        <w:br/>
      </w:r>
      <w:r>
        <w:t xml:space="preserve">- Etabler governance: hvem kan overstyre satser, og hvordan overrides logges (slik at ML ikke lærer feil).</w:t>
      </w:r>
      <w:r>
        <w:br/>
      </w:r>
      <w:r>
        <w:t xml:space="preserve">- For forsvar/Olje &amp; Gass: modeller QA-tid eksplisitt (dokumentpakker, sporbarhet, førsteartikkel), og knytt det til toleranse/sertifiseringsnivå i input.</w:t>
      </w:r>
    </w:p>
    <w:p>
      <w:pPr>
        <w:pStyle w:val="BodyText"/>
      </w:pPr>
      <w:r>
        <w:rPr>
          <w:b/>
          <w:bCs/>
        </w:rPr>
        <w:t xml:space="preserve">Merknad om norske markedspriser (status i åpne kilder)</w:t>
      </w:r>
      <w:r>
        <w:br/>
      </w:r>
      <w:r>
        <w:t xml:space="preserve">Åpne og maskinspesifikke timepriser for</w:t>
      </w:r>
      <w:r>
        <w:t xml:space="preserve"> </w:t>
      </w:r>
      <w:r>
        <w:rPr>
          <w:i/>
          <w:iCs/>
        </w:rPr>
        <w:t xml:space="preserve">høypresisjons CNC i Olje &amp; Gass og Forsvar</w:t>
      </w:r>
      <w:r>
        <w:t xml:space="preserve"> </w:t>
      </w:r>
      <w:r>
        <w:t xml:space="preserve">er ofte ikke publisert. De kildene som er lett tilgjengelige er enten generelle verkstedpriser (eksempel over) eller anskaffelsesdokumenter som beskriver prismekanismer uten å publisere leverandørenes priser.</w:t>
      </w:r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</w:p>
    <w:bookmarkEnd w:id="76"/>
    <w:bookmarkEnd w:id="77"/>
    <w:bookmarkEnd w:id="78"/>
    <w:bookmarkEnd w:id="79"/>
    <w:p>
      <w:r>
        <w:pict>
          <v:rect style="width:0;height:1.5pt" o:hralign="center" o:hrstd="t" o:hr="t"/>
        </w:pict>
      </w:r>
    </w:p>
    <w:bookmarkStart w:id="8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https://www.iso.org/standard/75066.html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https://www.iso.org/standard/75066.html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https://hbr.org/2004/11/time-driven-activity-based-costing</w:t>
      </w:r>
    </w:p>
    <w:p>
      <w:pPr>
        <w:pStyle w:val="BodyText"/>
      </w:pPr>
      <w:hyperlink r:id="rId22">
        <w:r>
          <w:rPr>
            <w:rStyle w:val="Hyperlink"/>
          </w:rPr>
          <w:t xml:space="preserve">https://hbr.org/2004/11/time-driven-activity-based-costing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https://www.researchgate.net/publication/353828045_Estimating_CNC_Cycle_Time_with_Deep_Learning_Technology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https://www.researchgate.net/publication/353828045_Estimating_CNC_Cycle_Time_with_Deep_Learning_Technology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selfa.no</w:t>
      </w:r>
    </w:p>
    <w:p>
      <w:pPr>
        <w:pStyle w:val="BodyText"/>
      </w:pPr>
      <w:hyperlink r:id="rId24">
        <w:r>
          <w:rPr>
            <w:rStyle w:val="Hyperlink"/>
          </w:rPr>
          <w:t xml:space="preserve">https://selfa.no/wp-content/uploads/Selfa-prisliste-2024.pdf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https://www.sciencedirect.com/science/article/abs/pii/S0924013606009757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https://www.sciencedirect.com/science/article/abs/pii/S0924013606009757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https://opcfoundation.org/news/opc-foundation-news/update-iec-62541-opc-ua-published/</w:t>
      </w:r>
    </w:p>
    <w:p>
      <w:pPr>
        <w:pStyle w:val="BodyText"/>
      </w:pPr>
      <w:hyperlink r:id="rId27">
        <w:r>
          <w:rPr>
            <w:rStyle w:val="Hyperlink"/>
          </w:rPr>
          <w:t xml:space="preserve">https://opcfoundation.org/news/opc-foundation-news/update-iec-62541-opc-ua-published/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https://www.gfms.com/en-us/machines/digitalization/security-connectivity/mtconnect.html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https://www.gfms.com/en-us/machines/digitalization/security-connectivity/mtconnect.html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2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https://www.sciencedirect.com/science/article/abs/pii/S027861252300095X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https://www.sciencedirect.com/science/article/abs/pii/S027861252300095X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https://arxiv.org/abs/2010.14824</w:t>
      </w:r>
    </w:p>
    <w:p>
      <w:pPr>
        <w:pStyle w:val="BodyText"/>
      </w:pPr>
      <w:hyperlink r:id="rId30">
        <w:r>
          <w:rPr>
            <w:rStyle w:val="Hyperlink"/>
          </w:rPr>
          <w:t xml:space="preserve">https://arxiv.org/abs/2010.14824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https://www.nist.gov/publications/towards-generalized-energy-prediction-model-machine-tools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https://www.nist.gov/publications/towards-generalized-energy-prediction-model-machine-tools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https://www.iso.org/standard/70035.html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https://www.iso.org/standard/70035.html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[20]</w:t>
        </w:r>
      </w:hyperlink>
      <w:r>
        <w:t xml:space="preserve"> </w:t>
      </w:r>
      <w:hyperlink r:id="rId3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https://mspace.lib.umanitoba.ca/bitstreams/d2aff991-3a17-4066-928d-459bb609ca1e/download</w:t>
      </w:r>
    </w:p>
    <w:p>
      <w:pPr>
        <w:pStyle w:val="BodyText"/>
      </w:pPr>
      <w:hyperlink r:id="rId34">
        <w:r>
          <w:rPr>
            <w:rStyle w:val="Hyperlink"/>
          </w:rPr>
          <w:t xml:space="preserve">https://mspace.lib.umanitoba.ca/bitstreams/d2aff991-3a17-4066-928d-459bb609ca1e/download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hyperlink r:id="rId39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https://www.sciencedirect.com/science/article/abs/pii/S0736584512001202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https://www.sciencedirect.com/science/article/abs/pii/S0736584512001202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https://www.isa.org/standards-and-publications/isa-standards/isa-95-standard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https://www.isa.org/standards-and-publications/isa-standards/isa-95-standard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[35]</w:t>
        </w:r>
      </w:hyperlink>
      <w:r>
        <w:t xml:space="preserve"> </w:t>
      </w:r>
      <w:hyperlink r:id="rId5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anskaffelser.no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https://www.anskaffelser.no/sites/default/files/2026-01/konkurransedokument-forsvarsbygg-brannslukkingsapparater.pdf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https://www.dnv.com/training/aqap-nato-quality-standards-course/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https://www.dnv.com/training/aqap-nato-quality-standards-course/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https://app.artifik.no/procurements/2798</w:t>
      </w:r>
    </w:p>
    <w:p>
      <w:pPr>
        <w:pStyle w:val="BodyText"/>
      </w:pPr>
      <w:hyperlink r:id="rId60">
        <w:r>
          <w:rPr>
            <w:rStyle w:val="Hyperlink"/>
          </w:rPr>
          <w:t xml:space="preserve">https://app.artifik.no/procurements/2798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https://www.kongsberg.com/kda/suppliers/quality/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https://www.kongsberg.com/kda/suppliers/quality/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oswo.no</w:t>
      </w:r>
    </w:p>
    <w:p>
      <w:pPr>
        <w:pStyle w:val="BodyText"/>
      </w:pPr>
      <w:hyperlink r:id="rId63">
        <w:r>
          <w:rPr>
            <w:rStyle w:val="Hyperlink"/>
          </w:rPr>
          <w:t xml:space="preserve">https://oswo.no/wp-content/uploads/Aqap-godkjenning-NO-2005005-til-ar-2028.pdf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https://standard.no/en/sectors/petroleum/</w:t>
      </w:r>
    </w:p>
    <w:p>
      <w:pPr>
        <w:pStyle w:val="BodyText"/>
      </w:pPr>
      <w:hyperlink r:id="rId65">
        <w:r>
          <w:rPr>
            <w:rStyle w:val="Hyperlink"/>
          </w:rPr>
          <w:t xml:space="preserve">https://standard.no/en/sectors/petroleum/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https://www.norac.no/2020/10/norac-achilles-jqs-qualified-again/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https://www.norac.no/2020/10/norac-achilles-jqs-qualified-again/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[46]</w:t>
        </w:r>
      </w:hyperlink>
      <w:r>
        <w:t xml:space="preserve"> </w:t>
      </w:r>
      <w:hyperlink r:id="rId67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https://standard.no/en/sectors/petroleum/norsok-standards/</w:t>
      </w:r>
    </w:p>
    <w:p>
      <w:pPr>
        <w:pStyle w:val="BodyText"/>
      </w:pPr>
      <w:hyperlink r:id="rId67">
        <w:r>
          <w:rPr>
            <w:rStyle w:val="Hyperlink"/>
          </w:rPr>
          <w:t xml:space="preserve">https://standard.no/en/sectors/petroleum/norsok-standards/</w:t>
        </w:r>
      </w:hyperlink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app.artifik.no/procurements/2798" TargetMode="External" /><Relationship Type="http://schemas.openxmlformats.org/officeDocument/2006/relationships/hyperlink" Id="rId30" Target="https://arxiv.org/abs/2010.14824" TargetMode="External" /><Relationship Type="http://schemas.openxmlformats.org/officeDocument/2006/relationships/hyperlink" Id="rId22" Target="https://hbr.org/2004/11/time-driven-activity-based-costing" TargetMode="External" /><Relationship Type="http://schemas.openxmlformats.org/officeDocument/2006/relationships/hyperlink" Id="rId34" Target="https://mspace.lib.umanitoba.ca/bitstreams/d2aff991-3a17-4066-928d-459bb609ca1e/download" TargetMode="External" /><Relationship Type="http://schemas.openxmlformats.org/officeDocument/2006/relationships/hyperlink" Id="rId27" Target="https://opcfoundation.org/news/opc-foundation-news/update-iec-62541-opc-ua-published/" TargetMode="External" /><Relationship Type="http://schemas.openxmlformats.org/officeDocument/2006/relationships/hyperlink" Id="rId63" Target="https://oswo.no/wp-content/uploads/Aqap-godkjenning-NO-2005005-til-ar-2028.pdf" TargetMode="External" /><Relationship Type="http://schemas.openxmlformats.org/officeDocument/2006/relationships/hyperlink" Id="rId24" Target="https://selfa.no/wp-content/uploads/Selfa-prisliste-2024.pdf" TargetMode="External" /><Relationship Type="http://schemas.openxmlformats.org/officeDocument/2006/relationships/hyperlink" Id="rId65" Target="https://standard.no/en/sectors/petroleum/" TargetMode="External" /><Relationship Type="http://schemas.openxmlformats.org/officeDocument/2006/relationships/hyperlink" Id="rId67" Target="https://standard.no/en/sectors/petroleum/norsok-standards/" TargetMode="External" /><Relationship Type="http://schemas.openxmlformats.org/officeDocument/2006/relationships/hyperlink" Id="rId58" Target="https://www.anskaffelser.no/sites/default/files/2026-01/konkurransedokument-forsvarsbygg-brannslukkingsapparater.pdf" TargetMode="External" /><Relationship Type="http://schemas.openxmlformats.org/officeDocument/2006/relationships/hyperlink" Id="rId59" Target="https://www.dnv.com/training/aqap-nato-quality-standards-course/" TargetMode="External" /><Relationship Type="http://schemas.openxmlformats.org/officeDocument/2006/relationships/hyperlink" Id="rId28" Target="https://www.gfms.com/en-us/machines/digitalization/security-connectivity/mtconnect.html" TargetMode="External" /><Relationship Type="http://schemas.openxmlformats.org/officeDocument/2006/relationships/hyperlink" Id="rId43" Target="https://www.isa.org/standards-and-publications/isa-standards/isa-95-standard" TargetMode="External" /><Relationship Type="http://schemas.openxmlformats.org/officeDocument/2006/relationships/hyperlink" Id="rId32" Target="https://www.iso.org/standard/70035.html" TargetMode="External" /><Relationship Type="http://schemas.openxmlformats.org/officeDocument/2006/relationships/hyperlink" Id="rId21" Target="https://www.iso.org/standard/75066.html" TargetMode="External" /><Relationship Type="http://schemas.openxmlformats.org/officeDocument/2006/relationships/hyperlink" Id="rId62" Target="https://www.kongsberg.com/kda/suppliers/quality/" TargetMode="External" /><Relationship Type="http://schemas.openxmlformats.org/officeDocument/2006/relationships/hyperlink" Id="rId31" Target="https://www.nist.gov/publications/towards-generalized-energy-prediction-model-machine-tools" TargetMode="External" /><Relationship Type="http://schemas.openxmlformats.org/officeDocument/2006/relationships/hyperlink" Id="rId66" Target="https://www.norac.no/2020/10/norac-achilles-jqs-qualified-again/" TargetMode="External" /><Relationship Type="http://schemas.openxmlformats.org/officeDocument/2006/relationships/hyperlink" Id="rId23" Target="https://www.researchgate.net/publication/353828045_Estimating_CNC_Cycle_Time_with_Deep_Learning_Technology" TargetMode="External" /><Relationship Type="http://schemas.openxmlformats.org/officeDocument/2006/relationships/hyperlink" Id="rId29" Target="https://www.sciencedirect.com/science/article/abs/pii/S027861252300095X" TargetMode="External" /><Relationship Type="http://schemas.openxmlformats.org/officeDocument/2006/relationships/hyperlink" Id="rId39" Target="https://www.sciencedirect.com/science/article/abs/pii/S0736584512001202" TargetMode="External" /><Relationship Type="http://schemas.openxmlformats.org/officeDocument/2006/relationships/hyperlink" Id="rId26" Target="https://www.sciencedirect.com/science/article/abs/pii/S092401360600975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app.artifik.no/procurements/2798" TargetMode="External" /><Relationship Type="http://schemas.openxmlformats.org/officeDocument/2006/relationships/hyperlink" Id="rId30" Target="https://arxiv.org/abs/2010.14824" TargetMode="External" /><Relationship Type="http://schemas.openxmlformats.org/officeDocument/2006/relationships/hyperlink" Id="rId22" Target="https://hbr.org/2004/11/time-driven-activity-based-costing" TargetMode="External" /><Relationship Type="http://schemas.openxmlformats.org/officeDocument/2006/relationships/hyperlink" Id="rId34" Target="https://mspace.lib.umanitoba.ca/bitstreams/d2aff991-3a17-4066-928d-459bb609ca1e/download" TargetMode="External" /><Relationship Type="http://schemas.openxmlformats.org/officeDocument/2006/relationships/hyperlink" Id="rId27" Target="https://opcfoundation.org/news/opc-foundation-news/update-iec-62541-opc-ua-published/" TargetMode="External" /><Relationship Type="http://schemas.openxmlformats.org/officeDocument/2006/relationships/hyperlink" Id="rId63" Target="https://oswo.no/wp-content/uploads/Aqap-godkjenning-NO-2005005-til-ar-2028.pdf" TargetMode="External" /><Relationship Type="http://schemas.openxmlformats.org/officeDocument/2006/relationships/hyperlink" Id="rId24" Target="https://selfa.no/wp-content/uploads/Selfa-prisliste-2024.pdf" TargetMode="External" /><Relationship Type="http://schemas.openxmlformats.org/officeDocument/2006/relationships/hyperlink" Id="rId65" Target="https://standard.no/en/sectors/petroleum/" TargetMode="External" /><Relationship Type="http://schemas.openxmlformats.org/officeDocument/2006/relationships/hyperlink" Id="rId67" Target="https://standard.no/en/sectors/petroleum/norsok-standards/" TargetMode="External" /><Relationship Type="http://schemas.openxmlformats.org/officeDocument/2006/relationships/hyperlink" Id="rId58" Target="https://www.anskaffelser.no/sites/default/files/2026-01/konkurransedokument-forsvarsbygg-brannslukkingsapparater.pdf" TargetMode="External" /><Relationship Type="http://schemas.openxmlformats.org/officeDocument/2006/relationships/hyperlink" Id="rId59" Target="https://www.dnv.com/training/aqap-nato-quality-standards-course/" TargetMode="External" /><Relationship Type="http://schemas.openxmlformats.org/officeDocument/2006/relationships/hyperlink" Id="rId28" Target="https://www.gfms.com/en-us/machines/digitalization/security-connectivity/mtconnect.html" TargetMode="External" /><Relationship Type="http://schemas.openxmlformats.org/officeDocument/2006/relationships/hyperlink" Id="rId43" Target="https://www.isa.org/standards-and-publications/isa-standards/isa-95-standard" TargetMode="External" /><Relationship Type="http://schemas.openxmlformats.org/officeDocument/2006/relationships/hyperlink" Id="rId32" Target="https://www.iso.org/standard/70035.html" TargetMode="External" /><Relationship Type="http://schemas.openxmlformats.org/officeDocument/2006/relationships/hyperlink" Id="rId21" Target="https://www.iso.org/standard/75066.html" TargetMode="External" /><Relationship Type="http://schemas.openxmlformats.org/officeDocument/2006/relationships/hyperlink" Id="rId62" Target="https://www.kongsberg.com/kda/suppliers/quality/" TargetMode="External" /><Relationship Type="http://schemas.openxmlformats.org/officeDocument/2006/relationships/hyperlink" Id="rId31" Target="https://www.nist.gov/publications/towards-generalized-energy-prediction-model-machine-tools" TargetMode="External" /><Relationship Type="http://schemas.openxmlformats.org/officeDocument/2006/relationships/hyperlink" Id="rId66" Target="https://www.norac.no/2020/10/norac-achilles-jqs-qualified-again/" TargetMode="External" /><Relationship Type="http://schemas.openxmlformats.org/officeDocument/2006/relationships/hyperlink" Id="rId23" Target="https://www.researchgate.net/publication/353828045_Estimating_CNC_Cycle_Time_with_Deep_Learning_Technology" TargetMode="External" /><Relationship Type="http://schemas.openxmlformats.org/officeDocument/2006/relationships/hyperlink" Id="rId29" Target="https://www.sciencedirect.com/science/article/abs/pii/S027861252300095X" TargetMode="External" /><Relationship Type="http://schemas.openxmlformats.org/officeDocument/2006/relationships/hyperlink" Id="rId39" Target="https://www.sciencedirect.com/science/article/abs/pii/S0736584512001202" TargetMode="External" /><Relationship Type="http://schemas.openxmlformats.org/officeDocument/2006/relationships/hyperlink" Id="rId26" Target="https://www.sciencedirect.com/science/article/abs/pii/S092401360600975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nb</dc:language>
  <cp:keywords/>
  <dcterms:created xsi:type="dcterms:W3CDTF">2026-02-22T17:46:33Z</dcterms:created>
  <dcterms:modified xsi:type="dcterms:W3CDTF">2026-02-22T17:46:33Z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