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607D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Aurelian </w:t>
      </w:r>
      <w:proofErr w:type="spellStart"/>
      <w:r w:rsidRPr="00610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Manufacturing</w:t>
      </w:r>
      <w:proofErr w:type="spellEnd"/>
    </w:p>
    <w:p w14:paraId="22647E64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Ramp-up, </w:t>
      </w: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transjevis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 skalering og økonomisk utvikling (grunnlag for verdsettelse)</w:t>
      </w:r>
    </w:p>
    <w:p w14:paraId="04519A26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Dette dokumentet presenterer en konsistent, låst og bank-/investor-lesbar fremstilling av ramp-up for Aurelian 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sitt første verksted, basert på hoveddokumentet </w:t>
      </w:r>
      <w:r w:rsidRPr="00610B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b-NO"/>
          <w14:ligatures w14:val="none"/>
        </w:rPr>
        <w:t>Markedsanalyse, sammenligning og økonomisk potensial ved autonom CNC-drift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samt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Vedlegg B – Økonomiske tabeller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</w:t>
      </w:r>
    </w:p>
    <w:p w14:paraId="499352C9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206DC19B">
          <v:rect id="_x0000_i1025" style="width:0;height:1.5pt" o:hralign="center" o:hrstd="t" o:hr="t" fillcolor="#a0a0a0" stroked="f"/>
        </w:pict>
      </w:r>
    </w:p>
    <w:p w14:paraId="33DBBE97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1. Låst metodikk og forutsetninger</w:t>
      </w:r>
    </w:p>
    <w:p w14:paraId="102B6AF8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1.1 Kapasitetsgrunnlag</w:t>
      </w:r>
    </w:p>
    <w:p w14:paraId="6CB363D7" w14:textId="77777777" w:rsidR="00610B35" w:rsidRPr="00610B35" w:rsidRDefault="00610B35" w:rsidP="00610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Teoretiske tilgjengelige timer per CNC-maskin: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8 760 timer/år (24/7)</w:t>
      </w:r>
    </w:p>
    <w:p w14:paraId="390A0E57" w14:textId="77777777" w:rsidR="00610B35" w:rsidRPr="00610B35" w:rsidRDefault="00610B35" w:rsidP="00610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Normalisert timepris: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3 000 NOK</w:t>
      </w:r>
    </w:p>
    <w:p w14:paraId="51D4F459" w14:textId="77777777" w:rsidR="00610B35" w:rsidRPr="00610B35" w:rsidRDefault="00610B35" w:rsidP="00610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Teoretisk omsetning per CNC ved 100 % utnyttelse: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8 760 × 3 000 = 26,28 MNOK per år</w:t>
      </w:r>
    </w:p>
    <w:p w14:paraId="71AEE4E1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Utnyttelsesgrad (%) refererer eksplisitt til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andel av 8 760 teoretiske timer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ikke til et begrenset driftstimetall.</w:t>
      </w:r>
    </w:p>
    <w:p w14:paraId="5D8F70D1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1.2 Kostnadsstruktur (fra Vedlegg B)</w:t>
      </w:r>
    </w:p>
    <w:p w14:paraId="62E7DD1D" w14:textId="77777777" w:rsidR="00610B35" w:rsidRPr="00610B35" w:rsidRDefault="00610B35" w:rsidP="00610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Variable kostnader: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13 % av omsetning</w:t>
      </w:r>
    </w:p>
    <w:p w14:paraId="741A7D8B" w14:textId="77777777" w:rsidR="00610B35" w:rsidRPr="00610B35" w:rsidRDefault="00610B35" w:rsidP="00610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Faste kostnader ved 20 CNC (steady 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state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):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~102,5 MNOK</w:t>
      </w:r>
    </w:p>
    <w:p w14:paraId="374F3FCC" w14:textId="77777777" w:rsidR="00610B35" w:rsidRPr="00610B35" w:rsidRDefault="00610B35" w:rsidP="00610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Faste kostnader skaleres konservativt i ramp-up (sub-lineær bemanning, men ikke maksimal operating 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leverage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tidlig fase)</w:t>
      </w:r>
    </w:p>
    <w:p w14:paraId="764F4A26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Presisering: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Vedlegg B reflekterer en </w:t>
      </w:r>
      <w:r w:rsidRPr="00610B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b-NO"/>
          <w14:ligatures w14:val="none"/>
        </w:rPr>
        <w:t>steady state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-kostnadsstruktur med moden risikoprofil. I ramp-up-fasen justeres finanskostnader 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transjevis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hovedmodellen for å reflektere varierende egenkapitalkrav og risikoreduksjon over tid. Operative og variable kostnader følger fortsatt Vedlegg B.</w:t>
      </w:r>
    </w:p>
    <w:p w14:paraId="5ADC9A3A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Alle tall er angitt i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MNOK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avrundet.</w:t>
      </w:r>
    </w:p>
    <w:p w14:paraId="5C1577D0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2DA9205D">
          <v:rect id="_x0000_i1026" style="width:0;height:1.5pt" o:hralign="center" o:hrstd="t" o:hr="t" fillcolor="#a0a0a0" stroked="f"/>
        </w:pict>
      </w:r>
    </w:p>
    <w:p w14:paraId="3EA2511C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2. </w:t>
      </w: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Transjevis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 ramp-up 2028–2031 (justert finansieringsstruktur)</w:t>
      </w:r>
    </w:p>
    <w:p w14:paraId="740E843F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I denne oppdateringen er kostnadsbildet eksplisitt justert for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varierende egenkapitalkrav per </w:t>
      </w: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transje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i tråd med selskapets overgang fra pre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noBreakHyphen/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revenue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til stabil, 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bankbar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drift:</w:t>
      </w:r>
    </w:p>
    <w:p w14:paraId="6BF4665C" w14:textId="77777777" w:rsidR="00610B35" w:rsidRPr="00610B35" w:rsidRDefault="00610B35" w:rsidP="00610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lastRenderedPageBreak/>
        <w:t>Transje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1: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50 % egenkapital / 50 % gjeld</w:t>
      </w:r>
    </w:p>
    <w:p w14:paraId="1A07D2D5" w14:textId="77777777" w:rsidR="00610B35" w:rsidRPr="00610B35" w:rsidRDefault="00610B35" w:rsidP="00610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Transje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2: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40 % egenkapital / 60 % gjeld</w:t>
      </w:r>
    </w:p>
    <w:p w14:paraId="392FEF26" w14:textId="77777777" w:rsidR="00610B35" w:rsidRPr="00610B35" w:rsidRDefault="00610B35" w:rsidP="00610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Transje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3: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30 % egenkapital / 70 % gjeld</w:t>
      </w:r>
    </w:p>
    <w:p w14:paraId="7EF6605D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Effekten slår ut i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finanskostnader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mens operasjonelle kostnader og variable kostnader er uendret. Det gir et mer realistisk og samtidig fortsatt konservativt bilde av ramp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noBreakHyphen/>
        <w:t>up.</w:t>
      </w:r>
    </w:p>
    <w:p w14:paraId="4CDBCEA3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C4B6D72">
          <v:rect id="_x0000_i1027" style="width:0;height:1.5pt" o:hralign="center" o:hrstd="t" o:hr="t" fillcolor="#a0a0a0" stroked="f"/>
        </w:pict>
      </w:r>
    </w:p>
    <w:p w14:paraId="279330FD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Transje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1 – Etablering og kommersiell validering (2028–Q2 2029)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55"/>
      </w:tblGrid>
      <w:tr w:rsidR="00610B35" w:rsidRPr="00610B35" w14:paraId="12951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115B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D65B9C9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Verdi</w:t>
            </w:r>
          </w:p>
        </w:tc>
      </w:tr>
      <w:tr w:rsidR="00610B35" w:rsidRPr="00610B35" w14:paraId="34A1E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714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CNC-maskiner</w:t>
            </w:r>
          </w:p>
        </w:tc>
        <w:tc>
          <w:tcPr>
            <w:tcW w:w="0" w:type="auto"/>
            <w:vAlign w:val="center"/>
            <w:hideMark/>
          </w:tcPr>
          <w:p w14:paraId="11A9A81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8</w:t>
            </w:r>
          </w:p>
        </w:tc>
      </w:tr>
      <w:tr w:rsidR="00610B35" w:rsidRPr="00610B35" w14:paraId="44B0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8F1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Utnyttelsesgrad</w:t>
            </w:r>
          </w:p>
        </w:tc>
        <w:tc>
          <w:tcPr>
            <w:tcW w:w="0" w:type="auto"/>
            <w:vAlign w:val="center"/>
            <w:hideMark/>
          </w:tcPr>
          <w:p w14:paraId="0E78A07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37,5 %</w:t>
            </w:r>
          </w:p>
        </w:tc>
      </w:tr>
      <w:tr w:rsidR="00610B35" w:rsidRPr="00610B35" w14:paraId="1CB10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FB3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Omsetning</w:t>
            </w:r>
          </w:p>
        </w:tc>
        <w:tc>
          <w:tcPr>
            <w:tcW w:w="0" w:type="auto"/>
            <w:vAlign w:val="center"/>
            <w:hideMark/>
          </w:tcPr>
          <w:p w14:paraId="370A2EC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78,8</w:t>
            </w:r>
          </w:p>
        </w:tc>
      </w:tr>
      <w:tr w:rsidR="00610B35" w:rsidRPr="00610B35" w14:paraId="55C8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6AD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Kostnader</w:t>
            </w:r>
          </w:p>
        </w:tc>
        <w:tc>
          <w:tcPr>
            <w:tcW w:w="0" w:type="auto"/>
            <w:vAlign w:val="center"/>
            <w:hideMark/>
          </w:tcPr>
          <w:p w14:paraId="051A1C9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44,5</w:t>
            </w:r>
          </w:p>
        </w:tc>
      </w:tr>
      <w:tr w:rsidR="00610B35" w:rsidRPr="00610B35" w14:paraId="75FAF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D87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Fortjeneste</w:t>
            </w:r>
          </w:p>
        </w:tc>
        <w:tc>
          <w:tcPr>
            <w:tcW w:w="0" w:type="auto"/>
            <w:vAlign w:val="center"/>
            <w:hideMark/>
          </w:tcPr>
          <w:p w14:paraId="3373A12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34,3</w:t>
            </w:r>
          </w:p>
        </w:tc>
      </w:tr>
      <w:tr w:rsidR="00610B35" w:rsidRPr="00610B35" w14:paraId="3466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596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Implisitt EK-andel</w:t>
            </w:r>
          </w:p>
        </w:tc>
        <w:tc>
          <w:tcPr>
            <w:tcW w:w="0" w:type="auto"/>
            <w:vAlign w:val="center"/>
            <w:hideMark/>
          </w:tcPr>
          <w:p w14:paraId="1C1A34C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50 %</w:t>
            </w:r>
          </w:p>
        </w:tc>
      </w:tr>
    </w:tbl>
    <w:p w14:paraId="678922A3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04B28A35">
          <v:rect id="_x0000_i1028" style="width:0;height:1.5pt" o:hralign="center" o:hrstd="t" o:hr="t" fillcolor="#a0a0a0" stroked="f"/>
        </w:pict>
      </w:r>
    </w:p>
    <w:p w14:paraId="1302C566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Transje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2 – Operativ skalering (2029 Q3–2030)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662"/>
      </w:tblGrid>
      <w:tr w:rsidR="00610B35" w:rsidRPr="00610B35" w14:paraId="692B4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B8908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A4F3D7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Verdi</w:t>
            </w:r>
          </w:p>
        </w:tc>
      </w:tr>
      <w:tr w:rsidR="00610B35" w:rsidRPr="00610B35" w14:paraId="331E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32D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CNC-maskiner</w:t>
            </w:r>
          </w:p>
        </w:tc>
        <w:tc>
          <w:tcPr>
            <w:tcW w:w="0" w:type="auto"/>
            <w:vAlign w:val="center"/>
            <w:hideMark/>
          </w:tcPr>
          <w:p w14:paraId="70DEEC5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14</w:t>
            </w:r>
          </w:p>
        </w:tc>
      </w:tr>
      <w:tr w:rsidR="00610B35" w:rsidRPr="00610B35" w14:paraId="3FB5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FFF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Utnyttelsesgrad</w:t>
            </w:r>
          </w:p>
        </w:tc>
        <w:tc>
          <w:tcPr>
            <w:tcW w:w="0" w:type="auto"/>
            <w:vAlign w:val="center"/>
            <w:hideMark/>
          </w:tcPr>
          <w:p w14:paraId="033FBFF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45 %</w:t>
            </w:r>
          </w:p>
        </w:tc>
      </w:tr>
      <w:tr w:rsidR="00610B35" w:rsidRPr="00610B35" w14:paraId="5B2A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9D6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Omsetning</w:t>
            </w:r>
          </w:p>
        </w:tc>
        <w:tc>
          <w:tcPr>
            <w:tcW w:w="0" w:type="auto"/>
            <w:vAlign w:val="center"/>
            <w:hideMark/>
          </w:tcPr>
          <w:p w14:paraId="76F975D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165,6</w:t>
            </w:r>
          </w:p>
        </w:tc>
      </w:tr>
      <w:tr w:rsidR="00610B35" w:rsidRPr="00610B35" w14:paraId="65EF0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56D6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Kostnader</w:t>
            </w:r>
          </w:p>
        </w:tc>
        <w:tc>
          <w:tcPr>
            <w:tcW w:w="0" w:type="auto"/>
            <w:vAlign w:val="center"/>
            <w:hideMark/>
          </w:tcPr>
          <w:p w14:paraId="7451171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66,5</w:t>
            </w:r>
          </w:p>
        </w:tc>
      </w:tr>
      <w:tr w:rsidR="00610B35" w:rsidRPr="00610B35" w14:paraId="3C88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08F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Fortjeneste</w:t>
            </w:r>
          </w:p>
        </w:tc>
        <w:tc>
          <w:tcPr>
            <w:tcW w:w="0" w:type="auto"/>
            <w:vAlign w:val="center"/>
            <w:hideMark/>
          </w:tcPr>
          <w:p w14:paraId="176FF14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99,1</w:t>
            </w:r>
          </w:p>
        </w:tc>
      </w:tr>
      <w:tr w:rsidR="00610B35" w:rsidRPr="00610B35" w14:paraId="7433F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A24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Implisitt EK-andel</w:t>
            </w:r>
          </w:p>
        </w:tc>
        <w:tc>
          <w:tcPr>
            <w:tcW w:w="0" w:type="auto"/>
            <w:vAlign w:val="center"/>
            <w:hideMark/>
          </w:tcPr>
          <w:p w14:paraId="158D990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40 %</w:t>
            </w:r>
          </w:p>
        </w:tc>
      </w:tr>
    </w:tbl>
    <w:p w14:paraId="096BAB3A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506CB3EC">
          <v:rect id="_x0000_i1029" style="width:0;height:1.5pt" o:hralign="center" o:hrstd="t" o:hr="t" fillcolor="#a0a0a0" stroked="f"/>
        </w:pict>
      </w:r>
    </w:p>
    <w:p w14:paraId="02947E01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Transje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3 – Full første verkstedskala (2031)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662"/>
      </w:tblGrid>
      <w:tr w:rsidR="00610B35" w:rsidRPr="00610B35" w14:paraId="722E1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2AD1B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A795E5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Verdi</w:t>
            </w:r>
          </w:p>
        </w:tc>
      </w:tr>
      <w:tr w:rsidR="00610B35" w:rsidRPr="00610B35" w14:paraId="62EB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3EF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CNC-maskiner</w:t>
            </w:r>
          </w:p>
        </w:tc>
        <w:tc>
          <w:tcPr>
            <w:tcW w:w="0" w:type="auto"/>
            <w:vAlign w:val="center"/>
            <w:hideMark/>
          </w:tcPr>
          <w:p w14:paraId="177E4A0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</w:t>
            </w:r>
          </w:p>
        </w:tc>
      </w:tr>
      <w:tr w:rsidR="00610B35" w:rsidRPr="00610B35" w14:paraId="53EA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BC1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Utnyttelsesgrad</w:t>
            </w:r>
          </w:p>
        </w:tc>
        <w:tc>
          <w:tcPr>
            <w:tcW w:w="0" w:type="auto"/>
            <w:vAlign w:val="center"/>
            <w:hideMark/>
          </w:tcPr>
          <w:p w14:paraId="39FA570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50 %</w:t>
            </w:r>
          </w:p>
        </w:tc>
      </w:tr>
      <w:tr w:rsidR="00610B35" w:rsidRPr="00610B35" w14:paraId="0761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1EB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Omsetning</w:t>
            </w:r>
          </w:p>
        </w:tc>
        <w:tc>
          <w:tcPr>
            <w:tcW w:w="0" w:type="auto"/>
            <w:vAlign w:val="center"/>
            <w:hideMark/>
          </w:tcPr>
          <w:p w14:paraId="188D7F86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262,8</w:t>
            </w:r>
          </w:p>
        </w:tc>
      </w:tr>
      <w:tr w:rsidR="00610B35" w:rsidRPr="00610B35" w14:paraId="2A19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6A4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Kostnader</w:t>
            </w:r>
          </w:p>
        </w:tc>
        <w:tc>
          <w:tcPr>
            <w:tcW w:w="0" w:type="auto"/>
            <w:vAlign w:val="center"/>
            <w:hideMark/>
          </w:tcPr>
          <w:p w14:paraId="059E6F2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98,5</w:t>
            </w:r>
          </w:p>
        </w:tc>
      </w:tr>
      <w:tr w:rsidR="00610B35" w:rsidRPr="00610B35" w14:paraId="4450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5A6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Fortjeneste (før kundeinsentiv)</w:t>
            </w:r>
          </w:p>
        </w:tc>
        <w:tc>
          <w:tcPr>
            <w:tcW w:w="0" w:type="auto"/>
            <w:vAlign w:val="center"/>
            <w:hideMark/>
          </w:tcPr>
          <w:p w14:paraId="5811F77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164,3</w:t>
            </w:r>
          </w:p>
        </w:tc>
      </w:tr>
      <w:tr w:rsidR="00610B35" w:rsidRPr="00610B35" w14:paraId="1FE6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7AC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Kundeinsentiv (&gt;45 %, 40 %)</w:t>
            </w:r>
          </w:p>
        </w:tc>
        <w:tc>
          <w:tcPr>
            <w:tcW w:w="0" w:type="auto"/>
            <w:vAlign w:val="center"/>
            <w:hideMark/>
          </w:tcPr>
          <w:p w14:paraId="67BB84E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-7,9</w:t>
            </w:r>
          </w:p>
        </w:tc>
      </w:tr>
      <w:tr w:rsidR="00610B35" w:rsidRPr="00610B35" w14:paraId="14BD4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EC79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Fortjeneste (etter kundeinsentiv)</w:t>
            </w:r>
          </w:p>
        </w:tc>
        <w:tc>
          <w:tcPr>
            <w:tcW w:w="0" w:type="auto"/>
            <w:vAlign w:val="center"/>
            <w:hideMark/>
          </w:tcPr>
          <w:p w14:paraId="7116DA2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156,4</w:t>
            </w:r>
          </w:p>
        </w:tc>
      </w:tr>
      <w:tr w:rsidR="00610B35" w:rsidRPr="00610B35" w14:paraId="67FC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53F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Implisitt EK-andel</w:t>
            </w:r>
          </w:p>
        </w:tc>
        <w:tc>
          <w:tcPr>
            <w:tcW w:w="0" w:type="auto"/>
            <w:vAlign w:val="center"/>
            <w:hideMark/>
          </w:tcPr>
          <w:p w14:paraId="4230DF86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30 %</w:t>
            </w:r>
          </w:p>
        </w:tc>
      </w:tr>
    </w:tbl>
    <w:p w14:paraId="49AC331F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753F4610">
          <v:rect id="_x0000_i1030" style="width:0;height:1.5pt" o:hralign="center" o:hrstd="t" o:hr="t" fillcolor="#a0a0a0" stroked="f"/>
        </w:pict>
      </w:r>
    </w:p>
    <w:p w14:paraId="6E32196E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lastRenderedPageBreak/>
        <w:t>3. Modent verksted – videre utvikling uten ny egenkapital</w:t>
      </w:r>
    </w:p>
    <w:p w14:paraId="130683C1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3A. Omsetning per regnskapsår (konsolidert oversikt, justert for finansiering og 50/50 delingsmodell)</w:t>
      </w:r>
    </w:p>
    <w:p w14:paraId="7BF94113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Tabellen under viser estimert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årlig omsetning, kostnader og fortjeneste per regnskapsår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, der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all fortjeneste som følger av utnyttelse over 45 % deles 50/50 mellom Aurelian </w:t>
      </w:r>
      <w:proofErr w:type="spellStart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og kvalifiserte kunder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 Effekten gjelder kun marginal oppside over terskelen og påvirker ikke nedside eller basisdrift.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25"/>
        <w:gridCol w:w="1110"/>
        <w:gridCol w:w="1271"/>
        <w:gridCol w:w="1230"/>
        <w:gridCol w:w="1421"/>
        <w:gridCol w:w="1506"/>
      </w:tblGrid>
      <w:tr w:rsidR="00610B35" w:rsidRPr="00610B35" w14:paraId="384BA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7E6C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Regnskapsår</w:t>
            </w:r>
          </w:p>
        </w:tc>
        <w:tc>
          <w:tcPr>
            <w:tcW w:w="0" w:type="auto"/>
            <w:vAlign w:val="center"/>
            <w:hideMark/>
          </w:tcPr>
          <w:p w14:paraId="25F8CD47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Snitt CNC-maskiner</w:t>
            </w:r>
          </w:p>
        </w:tc>
        <w:tc>
          <w:tcPr>
            <w:tcW w:w="0" w:type="auto"/>
            <w:vAlign w:val="center"/>
            <w:hideMark/>
          </w:tcPr>
          <w:p w14:paraId="54E7E0AD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Snitt utnyttelse</w:t>
            </w:r>
          </w:p>
        </w:tc>
        <w:tc>
          <w:tcPr>
            <w:tcW w:w="0" w:type="auto"/>
            <w:vAlign w:val="center"/>
            <w:hideMark/>
          </w:tcPr>
          <w:p w14:paraId="5EA33C6A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Omsetning (MNOK)</w:t>
            </w:r>
          </w:p>
        </w:tc>
        <w:tc>
          <w:tcPr>
            <w:tcW w:w="0" w:type="auto"/>
            <w:vAlign w:val="center"/>
            <w:hideMark/>
          </w:tcPr>
          <w:p w14:paraId="37519A1B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Kostnader (MNOK)</w:t>
            </w:r>
          </w:p>
        </w:tc>
        <w:tc>
          <w:tcPr>
            <w:tcW w:w="0" w:type="auto"/>
            <w:vAlign w:val="center"/>
            <w:hideMark/>
          </w:tcPr>
          <w:p w14:paraId="5091D15A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Fortjeneste etter deling (MNOK)</w:t>
            </w:r>
          </w:p>
        </w:tc>
        <w:tc>
          <w:tcPr>
            <w:tcW w:w="0" w:type="auto"/>
            <w:vAlign w:val="center"/>
            <w:hideMark/>
          </w:tcPr>
          <w:p w14:paraId="051957D8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Kommentar</w:t>
            </w:r>
          </w:p>
        </w:tc>
      </w:tr>
      <w:tr w:rsidR="00610B35" w:rsidRPr="00610B35" w14:paraId="2FDE1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D0C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0227C3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048D8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35 %</w:t>
            </w:r>
          </w:p>
        </w:tc>
        <w:tc>
          <w:tcPr>
            <w:tcW w:w="0" w:type="auto"/>
            <w:vAlign w:val="center"/>
            <w:hideMark/>
          </w:tcPr>
          <w:p w14:paraId="77B6EA7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F4E5A7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3BF20CC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FE218C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Under terskel – ingen deling</w:t>
            </w:r>
          </w:p>
        </w:tc>
      </w:tr>
      <w:tr w:rsidR="00610B35" w:rsidRPr="00610B35" w14:paraId="52975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41B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61BB062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E7104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40 %</w:t>
            </w:r>
          </w:p>
        </w:tc>
        <w:tc>
          <w:tcPr>
            <w:tcW w:w="0" w:type="auto"/>
            <w:vAlign w:val="center"/>
            <w:hideMark/>
          </w:tcPr>
          <w:p w14:paraId="616964E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23504F8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B07B99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266F379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Under terskel – ingen deling</w:t>
            </w:r>
          </w:p>
        </w:tc>
      </w:tr>
      <w:tr w:rsidR="00610B35" w:rsidRPr="00610B35" w14:paraId="00B6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DC4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3E59BCB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AA0E1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45 %</w:t>
            </w:r>
          </w:p>
        </w:tc>
        <w:tc>
          <w:tcPr>
            <w:tcW w:w="0" w:type="auto"/>
            <w:vAlign w:val="center"/>
            <w:hideMark/>
          </w:tcPr>
          <w:p w14:paraId="7DEBCFD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5A904CA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CD8B63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50D46F1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Terskelnivå – ingen deling</w:t>
            </w:r>
          </w:p>
        </w:tc>
      </w:tr>
      <w:tr w:rsidR="00610B35" w:rsidRPr="00610B35" w14:paraId="5B74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41A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2031</w:t>
            </w:r>
          </w:p>
        </w:tc>
        <w:tc>
          <w:tcPr>
            <w:tcW w:w="0" w:type="auto"/>
            <w:vAlign w:val="center"/>
            <w:hideMark/>
          </w:tcPr>
          <w:p w14:paraId="7DC9387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88326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50 %</w:t>
            </w:r>
          </w:p>
        </w:tc>
        <w:tc>
          <w:tcPr>
            <w:tcW w:w="0" w:type="auto"/>
            <w:vAlign w:val="center"/>
            <w:hideMark/>
          </w:tcPr>
          <w:p w14:paraId="2302DF9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263</w:t>
            </w:r>
          </w:p>
        </w:tc>
        <w:tc>
          <w:tcPr>
            <w:tcW w:w="0" w:type="auto"/>
            <w:vAlign w:val="center"/>
            <w:hideMark/>
          </w:tcPr>
          <w:p w14:paraId="404901A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BD0E39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7B8111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50/50 deling på marginal oppside</w:t>
            </w:r>
          </w:p>
        </w:tc>
      </w:tr>
      <w:tr w:rsidR="00610B35" w:rsidRPr="00610B35" w14:paraId="4556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0BD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2032</w:t>
            </w:r>
          </w:p>
        </w:tc>
        <w:tc>
          <w:tcPr>
            <w:tcW w:w="0" w:type="auto"/>
            <w:vAlign w:val="center"/>
            <w:hideMark/>
          </w:tcPr>
          <w:p w14:paraId="45354909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3FBEA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55 %</w:t>
            </w:r>
          </w:p>
        </w:tc>
        <w:tc>
          <w:tcPr>
            <w:tcW w:w="0" w:type="auto"/>
            <w:vAlign w:val="center"/>
            <w:hideMark/>
          </w:tcPr>
          <w:p w14:paraId="3080F09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5D9AC35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1544F5C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19612A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Økt flyt – delt oppside</w:t>
            </w:r>
          </w:p>
        </w:tc>
      </w:tr>
      <w:tr w:rsidR="00610B35" w:rsidRPr="00610B35" w14:paraId="4B596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106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2033</w:t>
            </w:r>
          </w:p>
        </w:tc>
        <w:tc>
          <w:tcPr>
            <w:tcW w:w="0" w:type="auto"/>
            <w:vAlign w:val="center"/>
            <w:hideMark/>
          </w:tcPr>
          <w:p w14:paraId="5D4EB00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EC3467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57,5 %</w:t>
            </w:r>
          </w:p>
        </w:tc>
        <w:tc>
          <w:tcPr>
            <w:tcW w:w="0" w:type="auto"/>
            <w:vAlign w:val="center"/>
            <w:hideMark/>
          </w:tcPr>
          <w:p w14:paraId="147257B6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333</w:t>
            </w:r>
          </w:p>
        </w:tc>
        <w:tc>
          <w:tcPr>
            <w:tcW w:w="0" w:type="auto"/>
            <w:vAlign w:val="center"/>
            <w:hideMark/>
          </w:tcPr>
          <w:p w14:paraId="019BA1D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4A9D260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09C7A6D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Delt oppside + styrket salg</w:t>
            </w:r>
          </w:p>
        </w:tc>
      </w:tr>
      <w:tr w:rsidR="00610B35" w:rsidRPr="00610B35" w14:paraId="2262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7B5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2034</w:t>
            </w:r>
          </w:p>
        </w:tc>
        <w:tc>
          <w:tcPr>
            <w:tcW w:w="0" w:type="auto"/>
            <w:vAlign w:val="center"/>
            <w:hideMark/>
          </w:tcPr>
          <w:p w14:paraId="299DB17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1ACD57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60 %</w:t>
            </w:r>
          </w:p>
        </w:tc>
        <w:tc>
          <w:tcPr>
            <w:tcW w:w="0" w:type="auto"/>
            <w:vAlign w:val="center"/>
            <w:hideMark/>
          </w:tcPr>
          <w:p w14:paraId="7E858CB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378</w:t>
            </w:r>
          </w:p>
        </w:tc>
        <w:tc>
          <w:tcPr>
            <w:tcW w:w="0" w:type="auto"/>
            <w:vAlign w:val="center"/>
            <w:hideMark/>
          </w:tcPr>
          <w:p w14:paraId="647456E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5E375AB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0CA1486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Høy flyt, stabil deling</w:t>
            </w:r>
          </w:p>
        </w:tc>
      </w:tr>
      <w:tr w:rsidR="00610B35" w:rsidRPr="00610B35" w14:paraId="38769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36E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2035</w:t>
            </w:r>
          </w:p>
        </w:tc>
        <w:tc>
          <w:tcPr>
            <w:tcW w:w="0" w:type="auto"/>
            <w:vAlign w:val="center"/>
            <w:hideMark/>
          </w:tcPr>
          <w:p w14:paraId="5ADC429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EF4319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65 %</w:t>
            </w:r>
          </w:p>
        </w:tc>
        <w:tc>
          <w:tcPr>
            <w:tcW w:w="0" w:type="auto"/>
            <w:vAlign w:val="center"/>
            <w:hideMark/>
          </w:tcPr>
          <w:p w14:paraId="091F3C4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427</w:t>
            </w:r>
          </w:p>
        </w:tc>
        <w:tc>
          <w:tcPr>
            <w:tcW w:w="0" w:type="auto"/>
            <w:vAlign w:val="center"/>
            <w:hideMark/>
          </w:tcPr>
          <w:p w14:paraId="0E595CF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1551624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6E33134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Modent nivå, 20 ansatte</w:t>
            </w:r>
          </w:p>
        </w:tc>
      </w:tr>
    </w:tbl>
    <w:p w14:paraId="383C5317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176FD225">
          <v:rect id="_x0000_i1031" style="width:0;height:1.5pt" o:hralign="center" o:hrstd="t" o:hr="t" fillcolor="#a0a0a0" stroked="f"/>
        </w:pict>
      </w:r>
    </w:p>
    <w:p w14:paraId="7D4C7105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4. Akkumulert finansiell prognose – første verksted (50/50 delingsmodell over 45 %)</w:t>
      </w:r>
    </w:p>
    <w:p w14:paraId="7898BA95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Tabellen under viser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akkumulert omsetning og akkumulert fortjeneste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første verksted, der deling av overskudd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kun utløses når CNC-utnyttelsen overstiger 45 %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. I tråd med tabell i punkt 3 får dette først faktisk effekt fra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2031 og fremover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. For å tydeliggjøre mekanikken er det lagt til egne kolonner for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fortjenestegrunnlag for deling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kundens andel av overskuddet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 Ordningen er illustrativ og må videreutvikles kontraktsmessig.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35"/>
        <w:gridCol w:w="1241"/>
        <w:gridCol w:w="2176"/>
        <w:gridCol w:w="1335"/>
        <w:gridCol w:w="1246"/>
        <w:gridCol w:w="1383"/>
      </w:tblGrid>
      <w:tr w:rsidR="00610B35" w:rsidRPr="00610B35" w14:paraId="71BC8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EA61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lastRenderedPageBreak/>
              <w:t>År</w:t>
            </w:r>
          </w:p>
        </w:tc>
        <w:tc>
          <w:tcPr>
            <w:tcW w:w="0" w:type="auto"/>
            <w:vAlign w:val="center"/>
            <w:hideMark/>
          </w:tcPr>
          <w:p w14:paraId="6D3E55A4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Årlig omsetning (MNOK)</w:t>
            </w:r>
          </w:p>
        </w:tc>
        <w:tc>
          <w:tcPr>
            <w:tcW w:w="0" w:type="auto"/>
            <w:vAlign w:val="center"/>
            <w:hideMark/>
          </w:tcPr>
          <w:p w14:paraId="0B685C95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Fortjeneste totalt (MNOK)</w:t>
            </w:r>
          </w:p>
        </w:tc>
        <w:tc>
          <w:tcPr>
            <w:tcW w:w="0" w:type="auto"/>
            <w:vAlign w:val="center"/>
            <w:hideMark/>
          </w:tcPr>
          <w:p w14:paraId="3DB4781A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Fortjenestegrunnlag &gt;45 % (MNOK)</w:t>
            </w:r>
          </w:p>
        </w:tc>
        <w:tc>
          <w:tcPr>
            <w:tcW w:w="0" w:type="auto"/>
            <w:vAlign w:val="center"/>
            <w:hideMark/>
          </w:tcPr>
          <w:p w14:paraId="4F704B38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Kundeandel 50 % (MNOK)</w:t>
            </w:r>
          </w:p>
        </w:tc>
        <w:tc>
          <w:tcPr>
            <w:tcW w:w="0" w:type="auto"/>
            <w:vAlign w:val="center"/>
            <w:hideMark/>
          </w:tcPr>
          <w:p w14:paraId="22029204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Fortjeneste Aurelian (MNOK)</w:t>
            </w:r>
          </w:p>
        </w:tc>
        <w:tc>
          <w:tcPr>
            <w:tcW w:w="0" w:type="auto"/>
            <w:vAlign w:val="center"/>
            <w:hideMark/>
          </w:tcPr>
          <w:p w14:paraId="57A861CB" w14:textId="77777777" w:rsidR="00610B35" w:rsidRPr="00610B35" w:rsidRDefault="00610B35" w:rsidP="00610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Akkumulert fortjeneste Aurelian (MNOK)</w:t>
            </w:r>
          </w:p>
        </w:tc>
      </w:tr>
      <w:tr w:rsidR="00610B35" w:rsidRPr="00610B35" w14:paraId="2150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7DE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CC44BC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19CC53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647F08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E45C4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B5618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06AEE9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29</w:t>
            </w:r>
          </w:p>
        </w:tc>
      </w:tr>
      <w:tr w:rsidR="00610B35" w:rsidRPr="00610B35" w14:paraId="5377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A03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38953D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36629E7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64EE6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1B31D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5332E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BD4F2E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89</w:t>
            </w:r>
          </w:p>
        </w:tc>
      </w:tr>
      <w:tr w:rsidR="00610B35" w:rsidRPr="00610B35" w14:paraId="2EAF6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BFC9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5E713FF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39B088B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479394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975B7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9CDC0B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2B2568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188</w:t>
            </w:r>
          </w:p>
        </w:tc>
      </w:tr>
      <w:tr w:rsidR="00610B35" w:rsidRPr="00610B35" w14:paraId="701F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BCF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2031</w:t>
            </w:r>
          </w:p>
        </w:tc>
        <w:tc>
          <w:tcPr>
            <w:tcW w:w="0" w:type="auto"/>
            <w:vAlign w:val="center"/>
            <w:hideMark/>
          </w:tcPr>
          <w:p w14:paraId="28A18D3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263</w:t>
            </w:r>
          </w:p>
        </w:tc>
        <w:tc>
          <w:tcPr>
            <w:tcW w:w="0" w:type="auto"/>
            <w:vAlign w:val="center"/>
            <w:hideMark/>
          </w:tcPr>
          <w:p w14:paraId="58B2859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53BCB8B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A06444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7639C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2B94376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337</w:t>
            </w:r>
          </w:p>
        </w:tc>
      </w:tr>
      <w:tr w:rsidR="00610B35" w:rsidRPr="00610B35" w14:paraId="6DC2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E9D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2032</w:t>
            </w:r>
          </w:p>
        </w:tc>
        <w:tc>
          <w:tcPr>
            <w:tcW w:w="0" w:type="auto"/>
            <w:vAlign w:val="center"/>
            <w:hideMark/>
          </w:tcPr>
          <w:p w14:paraId="5386B54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71E43CBA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5BFA9BA9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832986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0DAAD9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0F5FEAE0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494</w:t>
            </w:r>
          </w:p>
        </w:tc>
      </w:tr>
      <w:tr w:rsidR="00610B35" w:rsidRPr="00610B35" w14:paraId="4A44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326C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2033</w:t>
            </w:r>
          </w:p>
        </w:tc>
        <w:tc>
          <w:tcPr>
            <w:tcW w:w="0" w:type="auto"/>
            <w:vAlign w:val="center"/>
            <w:hideMark/>
          </w:tcPr>
          <w:p w14:paraId="7A4F4D7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333</w:t>
            </w:r>
          </w:p>
        </w:tc>
        <w:tc>
          <w:tcPr>
            <w:tcW w:w="0" w:type="auto"/>
            <w:vAlign w:val="center"/>
            <w:hideMark/>
          </w:tcPr>
          <w:p w14:paraId="4F5B040D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217</w:t>
            </w:r>
          </w:p>
        </w:tc>
        <w:tc>
          <w:tcPr>
            <w:tcW w:w="0" w:type="auto"/>
            <w:vAlign w:val="center"/>
            <w:hideMark/>
          </w:tcPr>
          <w:p w14:paraId="71B7477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1F3D1A1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61E9C08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5F5490C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673</w:t>
            </w:r>
          </w:p>
        </w:tc>
      </w:tr>
      <w:tr w:rsidR="00610B35" w:rsidRPr="00610B35" w14:paraId="6602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261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2034</w:t>
            </w:r>
          </w:p>
        </w:tc>
        <w:tc>
          <w:tcPr>
            <w:tcW w:w="0" w:type="auto"/>
            <w:vAlign w:val="center"/>
            <w:hideMark/>
          </w:tcPr>
          <w:p w14:paraId="3EB41342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378</w:t>
            </w:r>
          </w:p>
        </w:tc>
        <w:tc>
          <w:tcPr>
            <w:tcW w:w="0" w:type="auto"/>
            <w:vAlign w:val="center"/>
            <w:hideMark/>
          </w:tcPr>
          <w:p w14:paraId="1D5393F6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2A5FF4B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E3B3093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FC33E0E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0030AA4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872</w:t>
            </w:r>
          </w:p>
        </w:tc>
      </w:tr>
      <w:tr w:rsidR="00610B35" w:rsidRPr="00610B35" w14:paraId="4E04A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CDA4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2035</w:t>
            </w:r>
          </w:p>
        </w:tc>
        <w:tc>
          <w:tcPr>
            <w:tcW w:w="0" w:type="auto"/>
            <w:vAlign w:val="center"/>
            <w:hideMark/>
          </w:tcPr>
          <w:p w14:paraId="56EF1805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427</w:t>
            </w:r>
          </w:p>
        </w:tc>
        <w:tc>
          <w:tcPr>
            <w:tcW w:w="0" w:type="auto"/>
            <w:vAlign w:val="center"/>
            <w:hideMark/>
          </w:tcPr>
          <w:p w14:paraId="2D79530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294</w:t>
            </w:r>
          </w:p>
        </w:tc>
        <w:tc>
          <w:tcPr>
            <w:tcW w:w="0" w:type="auto"/>
            <w:vAlign w:val="center"/>
            <w:hideMark/>
          </w:tcPr>
          <w:p w14:paraId="2272296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10AA23D1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A2CB787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222</w:t>
            </w:r>
          </w:p>
        </w:tc>
        <w:tc>
          <w:tcPr>
            <w:tcW w:w="0" w:type="auto"/>
            <w:vAlign w:val="center"/>
            <w:hideMark/>
          </w:tcPr>
          <w:p w14:paraId="5089B57F" w14:textId="77777777" w:rsidR="00610B35" w:rsidRPr="00610B35" w:rsidRDefault="00610B35" w:rsidP="00610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610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1 094</w:t>
            </w:r>
          </w:p>
        </w:tc>
      </w:tr>
    </w:tbl>
    <w:p w14:paraId="22C2046F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4.1 Tolkning (bank- og investorrelevant)</w:t>
      </w:r>
    </w:p>
    <w:p w14:paraId="0830E0CF" w14:textId="77777777" w:rsidR="00610B35" w:rsidRPr="00610B35" w:rsidRDefault="00610B35" w:rsidP="00610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Delingsmekanismen aktiveres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først etter dokumentert flyt (&gt;45 % utnyttelse)</w:t>
      </w:r>
    </w:p>
    <w:p w14:paraId="562D0771" w14:textId="77777777" w:rsidR="00610B35" w:rsidRPr="00610B35" w:rsidRDefault="00610B35" w:rsidP="00610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Nedside og basislønnsomhet påvirkes ikke</w:t>
      </w:r>
    </w:p>
    <w:p w14:paraId="18835444" w14:textId="77777777" w:rsidR="00610B35" w:rsidRPr="00610B35" w:rsidRDefault="00610B35" w:rsidP="00610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Kundeandel synliggjøres eksplisitt som egen linje, ikke skjult i margin</w:t>
      </w:r>
    </w:p>
    <w:p w14:paraId="014482DC" w14:textId="77777777" w:rsidR="00610B35" w:rsidRPr="00610B35" w:rsidRDefault="00610B35" w:rsidP="00610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Aurelians akkumulerte fortjeneste forblir svært sterk (&gt;1,0 mrd. NOK)</w:t>
      </w:r>
    </w:p>
    <w:p w14:paraId="3C5CD058" w14:textId="77777777" w:rsidR="00610B35" w:rsidRPr="00610B35" w:rsidRDefault="00610B35" w:rsidP="00610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Ordningen fremstår som et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operativt insentiv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ikke en strukturell marginreduksjon</w:t>
      </w:r>
    </w:p>
    <w:p w14:paraId="4FB19011" w14:textId="77777777" w:rsidR="00610B35" w:rsidRPr="00610B35" w:rsidRDefault="00610B35" w:rsidP="00610B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37DD9282">
          <v:rect id="_x0000_i1032" style="width:0;height:1.5pt" o:hralign="center" o:hrstd="t" o:hr="t" fillcolor="#a0a0a0" stroked="f"/>
        </w:pict>
      </w:r>
    </w:p>
    <w:p w14:paraId="69F0C825" w14:textId="77777777" w:rsidR="00610B35" w:rsidRPr="00610B35" w:rsidRDefault="00610B35" w:rsidP="00610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4.2 Note – akkumulert verdifordeling mellom Aurelian og kunder</w:t>
      </w:r>
    </w:p>
    <w:p w14:paraId="553B29D4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Basert på tabellen over kan den akkumulerte effekten av delingsmodellen oppsummeres slik (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indikativt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):</w:t>
      </w:r>
    </w:p>
    <w:p w14:paraId="59C0838E" w14:textId="77777777" w:rsidR="00610B35" w:rsidRPr="00610B35" w:rsidRDefault="00610B35" w:rsidP="00610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Akkumulert fortjeneste </w:t>
      </w:r>
      <w:proofErr w:type="gramStart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generert</w:t>
      </w:r>
      <w:proofErr w:type="gramEnd"/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over 45 % utnyttelse (2031–2035):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ca.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408 MNOK</w:t>
      </w:r>
    </w:p>
    <w:p w14:paraId="4983BABF" w14:textId="77777777" w:rsidR="00610B35" w:rsidRPr="00610B35" w:rsidRDefault="00610B35" w:rsidP="00610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Akkumulert kundeandel (50 % av overskudd over 45 %):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ca.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204 MNOK</w:t>
      </w:r>
    </w:p>
    <w:p w14:paraId="5DA01B42" w14:textId="77777777" w:rsidR="00610B35" w:rsidRPr="00610B35" w:rsidRDefault="00610B35" w:rsidP="00610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Akkumulert fortjeneste som tilfaller Aurelian etter deling: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ca.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1 094 MNOK</w:t>
      </w:r>
    </w:p>
    <w:p w14:paraId="6242A611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Dette innebærer at:</w:t>
      </w:r>
    </w:p>
    <w:p w14:paraId="31E9B404" w14:textId="77777777" w:rsidR="00610B35" w:rsidRPr="00610B35" w:rsidRDefault="00610B35" w:rsidP="00610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kundene samlet mottar en </w:t>
      </w:r>
      <w:r w:rsidRPr="00610B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materiell, men kontrollert andel av oppsiden</w:t>
      </w: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som direkte kan knyttes til forbedret flyt og ordresekvensering</w:t>
      </w:r>
    </w:p>
    <w:p w14:paraId="6DABCF1F" w14:textId="77777777" w:rsidR="00610B35" w:rsidRPr="00610B35" w:rsidRDefault="00610B35" w:rsidP="00610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Aurelians aksjonærer beholder hoveddelen av verdiskapingen, samtidig som sannsynligheten for å realisere høy utnyttelse økes</w:t>
      </w:r>
    </w:p>
    <w:p w14:paraId="7335D803" w14:textId="77777777" w:rsidR="00610B35" w:rsidRPr="00610B35" w:rsidRDefault="00610B35" w:rsidP="00610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Tallene er illustrerende og basert på modellforutsetningene i dette dokumentet. Endelig utforming av kundeinsentivordningen vil avhenge av </w:t>
      </w:r>
      <w:proofErr w:type="spellStart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kontraktsstruktur</w:t>
      </w:r>
      <w:proofErr w:type="spellEnd"/>
      <w:r w:rsidRPr="00610B3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kvalifikasjonskriterier og faktisk kundeatferd.</w:t>
      </w:r>
    </w:p>
    <w:p w14:paraId="37330551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4FF"/>
    <w:multiLevelType w:val="multilevel"/>
    <w:tmpl w:val="1C3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C58C8"/>
    <w:multiLevelType w:val="multilevel"/>
    <w:tmpl w:val="4D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641F1"/>
    <w:multiLevelType w:val="multilevel"/>
    <w:tmpl w:val="F57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A122B"/>
    <w:multiLevelType w:val="multilevel"/>
    <w:tmpl w:val="717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7486D"/>
    <w:multiLevelType w:val="multilevel"/>
    <w:tmpl w:val="A57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91F1C"/>
    <w:multiLevelType w:val="multilevel"/>
    <w:tmpl w:val="6F3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878">
    <w:abstractNumId w:val="5"/>
  </w:num>
  <w:num w:numId="2" w16cid:durableId="490484923">
    <w:abstractNumId w:val="1"/>
  </w:num>
  <w:num w:numId="3" w16cid:durableId="554050058">
    <w:abstractNumId w:val="0"/>
  </w:num>
  <w:num w:numId="4" w16cid:durableId="1544365893">
    <w:abstractNumId w:val="4"/>
  </w:num>
  <w:num w:numId="5" w16cid:durableId="284973326">
    <w:abstractNumId w:val="2"/>
  </w:num>
  <w:num w:numId="6" w16cid:durableId="65734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35"/>
    <w:rsid w:val="000D3346"/>
    <w:rsid w:val="00610B35"/>
    <w:rsid w:val="00890450"/>
    <w:rsid w:val="0098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A9AC2"/>
  <w15:chartTrackingRefBased/>
  <w15:docId w15:val="{4BD73C8F-0BA3-48C2-A585-518CC5CC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1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1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1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1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1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1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10B35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10B35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10B3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10B3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10B3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10B3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1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1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1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1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1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10B3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10B3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10B35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1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10B35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10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905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cp:lastPrinted>2026-02-06T11:10:00Z</cp:lastPrinted>
  <dcterms:created xsi:type="dcterms:W3CDTF">2026-02-06T12:43:00Z</dcterms:created>
  <dcterms:modified xsi:type="dcterms:W3CDTF">2026-02-06T12:43:00Z</dcterms:modified>
</cp:coreProperties>
</file>