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Ferdocean Shipping AS Term Sheet Analysis</w:t>
      </w:r>
    </w:p>
    <w:p/>
    <w:p>
      <w:pPr>
        <w:pStyle w:val="Heading2"/>
      </w:pPr>
      <w:r>
        <w:t>CRITICAL ATTENTION POINTS</w:t>
      </w:r>
    </w:p>
    <w:p/>
    <w:p>
      <w:pPr>
        <w:pStyle w:val="Heading3"/>
      </w:pPr>
      <w:r>
        <w:t>1. LISTING REQUIREMENT - IMMEDIATE CONCERN</w:t>
      </w:r>
    </w:p>
    <w:p>
      <w:r>
        <w:t>Key Finding: The term sheet states "Only the Company's Common Stock will be required to be a listed and trading security prior to the Company's drawdown of the Investment Amount."</w:t>
      </w:r>
    </w:p>
    <w:p/>
    <w:p>
      <w:r>
        <w:rPr>
          <w:b/>
        </w:rPr>
        <w:t>Critical Implications:</w:t>
      </w:r>
    </w:p>
    <w:p>
      <w:pPr>
        <w:pStyle w:val="ListBullet"/>
      </w:pPr>
      <w:r>
        <w:t>**US listing is REQUIRED before accessing ANY tranche**</w:t>
      </w:r>
    </w:p>
    <w:p>
      <w:pPr>
        <w:pStyle w:val="ListBullet"/>
      </w:pPr>
      <w:r>
        <w:t>Company must complete full US listing process before drawing down the first $37.5M</w:t>
      </w:r>
    </w:p>
    <w:p>
      <w:pPr>
        <w:pStyle w:val="ListBullet"/>
      </w:pPr>
      <w:r>
        <w:t>No access to investment funds until listing is complete</w:t>
      </w:r>
    </w:p>
    <w:p>
      <w:pPr>
        <w:pStyle w:val="ListBullet"/>
      </w:pPr>
      <w:r>
        <w:t>This creates significant upfront costs and timeline pressure</w:t>
      </w:r>
    </w:p>
    <w:p/>
    <w:p>
      <w:pPr>
        <w:pStyle w:val="Heading3"/>
      </w:pPr>
      <w:r>
        <w:t>2. TRANCHE STRUCTURE ANALYSIS</w:t>
      </w:r>
    </w:p>
    <w:p/>
    <w:p>
      <w:r>
        <w:t>Four Tranches of $37.5M Each:</w:t>
      </w:r>
    </w:p>
    <w:p>
      <w:pPr>
        <w:pStyle w:val="ListBullet"/>
      </w:pPr>
      <w:r>
        <w:t>**Tranche 1**: $37.5M (7.5% equity) - No special milestones</w:t>
      </w:r>
    </w:p>
    <w:p>
      <w:pPr>
        <w:pStyle w:val="ListBullet"/>
      </w:pPr>
      <w:r>
        <w:t>**Tranche 2**: $37.5M (7.5% equity) - No special milestones</w:t>
      </w:r>
    </w:p>
    <w:p>
      <w:pPr>
        <w:pStyle w:val="ListBullet"/>
      </w:pPr>
      <w:r>
        <w:t>**Tranche 3**: $37.5M (7.5% equity) - Revenue and Net Book Value thresholds TBD</w:t>
      </w:r>
    </w:p>
    <w:p>
      <w:pPr>
        <w:pStyle w:val="ListBullet"/>
      </w:pPr>
      <w:r>
        <w:t>**Tranche 4**: $37.5M (7.5% equity) - Revenue and Net Book Value thresholds TBD</w:t>
      </w:r>
    </w:p>
    <w:p/>
    <w:p>
      <w:r>
        <w:t>Total: $150M for 30% equity stake</w:t>
      </w:r>
    </w:p>
    <w:p/>
    <w:p>
      <w:pPr>
        <w:pStyle w:val="Heading3"/>
      </w:pPr>
      <w:r>
        <w:t>3. TIMING AND EXERCISE RIGHTS</w:t>
      </w:r>
    </w:p>
    <w:p/>
    <w:p>
      <w:r>
        <w:t>Company Put Right:</w:t>
      </w:r>
    </w:p>
    <w:p>
      <w:pPr>
        <w:pStyle w:val="ListBullet"/>
      </w:pPr>
      <w:r>
        <w:t>Can exercise from date company becomes public until earlier of:</w:t>
      </w:r>
    </w:p>
    <w:p>
      <w:pPr>
        <w:pStyle w:val="ListBullet"/>
      </w:pPr>
      <w:r>
        <w:t>3 years after Effective Date</w:t>
      </w:r>
    </w:p>
    <w:p>
      <w:pPr>
        <w:pStyle w:val="ListBullet"/>
      </w:pPr>
      <w:r>
        <w:t>Investor exercises call right</w:t>
      </w:r>
    </w:p>
    <w:p/>
    <w:p>
      <w:r>
        <w:t>Investor Call Right:</w:t>
      </w:r>
    </w:p>
    <w:p>
      <w:pPr>
        <w:pStyle w:val="ListBullet"/>
      </w:pPr>
      <w:r>
        <w:t>Can exercise 1 year after company becomes public OR</w:t>
      </w:r>
    </w:p>
    <w:p>
      <w:pPr>
        <w:pStyle w:val="ListBullet"/>
      </w:pPr>
      <w:r>
        <w:t>3 years after Effective Date</w:t>
      </w:r>
    </w:p>
    <w:p/>
    <w:p>
      <w:r>
        <w:rPr>
          <w:b/>
        </w:rPr>
        <w:t>Critical Issue: Company has limited time window to access funds after listing</w:t>
      </w:r>
    </w:p>
    <w:p/>
    <w:p>
      <w:pPr>
        <w:pStyle w:val="Heading3"/>
      </w:pPr>
      <w:r>
        <w:t>4. PRICING MECHANISM - HIGH RISK</w:t>
      </w:r>
    </w:p>
    <w:p>
      <w:pPr>
        <w:pStyle w:val="ListBullet"/>
      </w:pPr>
      <w:r>
        <w:t>Share price based on VWAP (Volume Weighted Average Price) after exercise</w:t>
      </w:r>
    </w:p>
    <w:p>
      <w:pPr>
        <w:pStyle w:val="ListBullet"/>
      </w:pPr>
      <w:r>
        <w:t>Price cannot exceed any other securities issued during Exercise Period</w:t>
      </w:r>
    </w:p>
    <w:p>
      <w:pPr>
        <w:pStyle w:val="ListBullet"/>
      </w:pPr>
      <w:r>
        <w:t>**Risk**: Market volatility could significantly impact valuation</w:t>
      </w:r>
    </w:p>
    <w:p>
      <w:pPr>
        <w:pStyle w:val="ListBullet"/>
      </w:pPr>
      <w:r>
        <w:t>**6% annual charge** on uncommitted capital until drawn</w:t>
      </w:r>
    </w:p>
    <w:p/>
    <w:p>
      <w:pPr>
        <w:pStyle w:val="Heading3"/>
      </w:pPr>
      <w:r>
        <w:t>5. CORPORATE STRUCTURE REQUIREMENTS</w:t>
      </w:r>
    </w:p>
    <w:p>
      <w:r>
        <w:t>Major Restructuring Required:</w:t>
      </w:r>
    </w:p>
    <w:p>
      <w:pPr>
        <w:pStyle w:val="ListBullet"/>
      </w:pPr>
      <w:r>
        <w:t>Must create US Delaware C-Corporation as parent company</w:t>
      </w:r>
    </w:p>
    <w:p>
      <w:pPr>
        <w:pStyle w:val="ListBullet"/>
      </w:pPr>
      <w:r>
        <w:t>All assets must be consolidated under US entity</w:t>
      </w:r>
    </w:p>
    <w:p>
      <w:pPr>
        <w:pStyle w:val="ListBullet"/>
      </w:pPr>
      <w:r>
        <w:t>Norwegian operations become wholly-owned subsidiary</w:t>
      </w:r>
    </w:p>
    <w:p>
      <w:pPr>
        <w:pStyle w:val="ListBullet"/>
      </w:pPr>
      <w:r>
        <w:t>**Significant legal and tax implications**</w:t>
      </w:r>
    </w:p>
    <w:p/>
    <w:p>
      <w:pPr>
        <w:pStyle w:val="Heading3"/>
      </w:pPr>
      <w:r>
        <w:t>6. UPFRONT COSTS AND FEES</w:t>
      </w:r>
    </w:p>
    <w:p>
      <w:r>
        <w:t>Immediate Costs:</w:t>
      </w:r>
    </w:p>
    <w:p>
      <w:pPr>
        <w:pStyle w:val="ListBullet"/>
      </w:pPr>
      <w:r>
        <w:t>$175,000 Transaction Expense (non-refundable in most circumstances)</w:t>
      </w:r>
    </w:p>
    <w:p>
      <w:pPr>
        <w:pStyle w:val="ListBullet"/>
      </w:pPr>
      <w:r>
        <w:t>Only refundable if investor fails to deliver definitive agreements</w:t>
      </w:r>
    </w:p>
    <w:p>
      <w:pPr>
        <w:pStyle w:val="ListBullet"/>
      </w:pPr>
      <w:r>
        <w:t>Additional legal, accounting, and listing fees (estimated $500K-$2M+)</w:t>
      </w:r>
    </w:p>
    <w:p/>
    <w:p>
      <w:pPr>
        <w:pStyle w:val="Heading3"/>
      </w:pPr>
      <w:r>
        <w:t>7. DILUTION AND WARRANT CONCERNS</w:t>
      </w:r>
    </w:p>
    <w:p>
      <w:r>
        <w:t>Warrant Coverage:</w:t>
      </w:r>
    </w:p>
    <w:p>
      <w:pPr>
        <w:pStyle w:val="ListBullet"/>
      </w:pPr>
      <w:r>
        <w:t>One-to-one warrant coverage at par value</w:t>
      </w:r>
    </w:p>
    <w:p>
      <w:pPr>
        <w:pStyle w:val="ListBullet"/>
      </w:pPr>
      <w:r>
        <w:t>Potential for significant additional dilution</w:t>
      </w:r>
    </w:p>
    <w:p>
      <w:pPr>
        <w:pStyle w:val="ListBullet"/>
      </w:pPr>
      <w:r>
        <w:t>4.99% blocker provision limits conversion but doesn't eliminate dilution risk</w:t>
      </w:r>
    </w:p>
    <w:p/>
    <w:p>
      <w:pPr>
        <w:pStyle w:val="Heading3"/>
      </w:pPr>
      <w:r>
        <w:t>8. MERGER TRANSACTION REQUIREMENTS</w:t>
      </w:r>
    </w:p>
    <w:p>
      <w:r>
        <w:t>Contemplated M&amp;A Activity:</w:t>
      </w:r>
    </w:p>
    <w:p>
      <w:pPr>
        <w:pStyle w:val="ListBullet"/>
      </w:pPr>
      <w:r>
        <w:t>Environmental Services</w:t>
      </w:r>
    </w:p>
    <w:p>
      <w:pPr>
        <w:pStyle w:val="ListBullet"/>
      </w:pPr>
      <w:r>
        <w:t>Oil &amp; Gas Services</w:t>
      </w:r>
    </w:p>
    <w:p>
      <w:pPr>
        <w:pStyle w:val="ListBullet"/>
      </w:pPr>
      <w:r>
        <w:t>Maritime/Shipping Services (waste management)</w:t>
      </w:r>
    </w:p>
    <w:p>
      <w:pPr>
        <w:pStyle w:val="ListBullet"/>
      </w:pPr>
      <w:r>
        <w:t>May require additional acquisitions to meet investor expectations</w:t>
      </w:r>
    </w:p>
    <w:p/>
    <w:p>
      <w:pPr>
        <w:pStyle w:val="Heading3"/>
      </w:pPr>
      <w:r>
        <w:t>9. COMPLIANCE AND GOVERNANCE</w:t>
      </w:r>
    </w:p>
    <w:p>
      <w:r>
        <w:t>US Public Company Requirements:</w:t>
      </w:r>
    </w:p>
    <w:p>
      <w:pPr>
        <w:pStyle w:val="ListBullet"/>
      </w:pPr>
      <w:r>
        <w:t>Sarbanes-Oxley compliance</w:t>
      </w:r>
    </w:p>
    <w:p>
      <w:pPr>
        <w:pStyle w:val="ListBullet"/>
      </w:pPr>
      <w:r>
        <w:t>SEC reporting (Form 20-F annually)</w:t>
      </w:r>
    </w:p>
    <w:p>
      <w:pPr>
        <w:pStyle w:val="ListBullet"/>
      </w:pPr>
      <w:r>
        <w:t>US GAAP or IFRS financial statements</w:t>
      </w:r>
    </w:p>
    <w:p>
      <w:pPr>
        <w:pStyle w:val="ListBullet"/>
      </w:pPr>
      <w:r>
        <w:t>Independent audit committee</w:t>
      </w:r>
    </w:p>
    <w:p>
      <w:pPr>
        <w:pStyle w:val="ListBullet"/>
      </w:pPr>
      <w:r>
        <w:t>Ongoing compliance costs: $1-3M annually</w:t>
      </w:r>
    </w:p>
    <w:p/>
    <w:p>
      <w:pPr>
        <w:pStyle w:val="Heading3"/>
      </w:pPr>
      <w:r>
        <w:t>10. TIMELINE PRESSURES</w:t>
      </w:r>
    </w:p>
    <w:p>
      <w:r>
        <w:t>Key Deadlines:</w:t>
      </w:r>
    </w:p>
    <w:p>
      <w:pPr>
        <w:pStyle w:val="ListBullet"/>
      </w:pPr>
      <w:r>
        <w:t>Term sheet expires 15 days from July 11, 2025</w:t>
      </w:r>
    </w:p>
    <w:p>
      <w:pPr>
        <w:pStyle w:val="ListBullet"/>
      </w:pPr>
      <w:r>
        <w:t>Definitive agreements within 30-45 days</w:t>
      </w:r>
    </w:p>
    <w:p>
      <w:pPr>
        <w:pStyle w:val="ListBullet"/>
      </w:pPr>
      <w:r>
        <w:t>Must complete listing before accessing any funds</w:t>
      </w:r>
    </w:p>
    <w:p>
      <w:pPr>
        <w:pStyle w:val="ListBullet"/>
      </w:pPr>
      <w:r>
        <w:t>3-year window to exercise all tranches</w:t>
      </w:r>
    </w:p>
    <w:p/>
    <w:p>
      <w:pPr>
        <w:pStyle w:val="Heading2"/>
      </w:pPr>
      <w:r>
        <w:t>MAJOR RED FLAGS</w:t>
      </w:r>
    </w:p>
    <w:p/>
    <w:p>
      <w:pPr>
        <w:pStyle w:val="Heading3"/>
      </w:pPr>
      <w:r>
        <w:t>1. Listing Requirement Before Funding</w:t>
      </w:r>
    </w:p>
    <w:p>
      <w:pPr>
        <w:pStyle w:val="ListBullet"/>
      </w:pPr>
      <w:r>
        <w:t>**Problem**: Must spend significant capital on listing before receiving any investment</w:t>
      </w:r>
    </w:p>
    <w:p>
      <w:pPr>
        <w:pStyle w:val="ListBullet"/>
      </w:pPr>
      <w:r>
        <w:t>**Risk**: If listing fails or is delayed, no access to investment funds</w:t>
      </w:r>
    </w:p>
    <w:p>
      <w:pPr>
        <w:pStyle w:val="ListBullet"/>
      </w:pPr>
      <w:r>
        <w:t>**Cash flow impact**: Could strain company resources</w:t>
      </w:r>
    </w:p>
    <w:p/>
    <w:p>
      <w:pPr>
        <w:pStyle w:val="Heading3"/>
      </w:pPr>
      <w:r>
        <w:t>2. Complex Pricing Mechanism</w:t>
      </w:r>
    </w:p>
    <w:p>
      <w:pPr>
        <w:pStyle w:val="ListBullet"/>
      </w:pPr>
      <w:r>
        <w:t>**Problem**: VWAP pricing creates uncertainty</w:t>
      </w:r>
    </w:p>
    <w:p>
      <w:pPr>
        <w:pStyle w:val="ListBullet"/>
      </w:pPr>
      <w:r>
        <w:t>**Risk**: Market manipulation or volatility could reduce proceeds</w:t>
      </w:r>
    </w:p>
    <w:p>
      <w:pPr>
        <w:pStyle w:val="ListBullet"/>
      </w:pPr>
      <w:r>
        <w:t>**Timing risk**: Market conditions at exercise may be unfavorable</w:t>
      </w:r>
    </w:p>
    <w:p/>
    <w:p>
      <w:pPr>
        <w:pStyle w:val="Heading3"/>
      </w:pPr>
      <w:r>
        <w:t>3. Corporate Restructuring</w:t>
      </w:r>
    </w:p>
    <w:p>
      <w:pPr>
        <w:pStyle w:val="ListBullet"/>
      </w:pPr>
      <w:r>
        <w:t>**Problem**: Requires complete reorganization under US law</w:t>
      </w:r>
    </w:p>
    <w:p>
      <w:pPr>
        <w:pStyle w:val="ListBullet"/>
      </w:pPr>
      <w:r>
        <w:t>**Risk**: Tax implications, regulatory approvals, operational disruption</w:t>
      </w:r>
    </w:p>
    <w:p>
      <w:pPr>
        <w:pStyle w:val="ListBullet"/>
      </w:pPr>
      <w:r>
        <w:t>**Cost**: Significant legal and professional fees</w:t>
      </w:r>
    </w:p>
    <w:p/>
    <w:p>
      <w:pPr>
        <w:pStyle w:val="Heading3"/>
      </w:pPr>
      <w:r>
        <w:t>4. Warrant Dilution</w:t>
      </w:r>
    </w:p>
    <w:p>
      <w:pPr>
        <w:pStyle w:val="ListBullet"/>
      </w:pPr>
      <w:r>
        <w:t>**Problem**: 100% warrant coverage doubles potential dilution</w:t>
      </w:r>
    </w:p>
    <w:p>
      <w:pPr>
        <w:pStyle w:val="ListBullet"/>
      </w:pPr>
      <w:r>
        <w:t>**Risk**: If warrants exercised, total dilution could reach 60%</w:t>
      </w:r>
    </w:p>
    <w:p>
      <w:pPr>
        <w:pStyle w:val="ListBullet"/>
      </w:pPr>
      <w:r>
        <w:t>**Control**: Blocker provision provides limited protection</w:t>
      </w:r>
    </w:p>
    <w:p/>
    <w:p>
      <w:pPr>
        <w:pStyle w:val="Heading3"/>
      </w:pPr>
      <w:r>
        <w:t>5. Undefined Milestones</w:t>
      </w:r>
    </w:p>
    <w:p>
      <w:pPr>
        <w:pStyle w:val="ListBullet"/>
      </w:pPr>
      <w:r>
        <w:t>**Problem**: Tranches 3 &amp; 4 have undefined revenue/asset thresholds</w:t>
      </w:r>
    </w:p>
    <w:p>
      <w:pPr>
        <w:pStyle w:val="ListBullet"/>
      </w:pPr>
      <w:r>
        <w:t>**Risk**: Investor could set unrealistic targets</w:t>
      </w:r>
    </w:p>
    <w:p>
      <w:pPr>
        <w:pStyle w:val="ListBullet"/>
      </w:pPr>
      <w:r>
        <w:t>**Negotiation**: Terms to be determined in definitive agreements</w:t>
      </w:r>
    </w:p>
    <w:p/>
    <w:p>
      <w:pPr>
        <w:pStyle w:val="Heading2"/>
      </w:pPr>
      <w:r>
        <w:t>RECOMMENDATIONS FOR NEGOTIATION</w:t>
      </w:r>
    </w:p>
    <w:p/>
    <w:p>
      <w:pPr>
        <w:pStyle w:val="Heading3"/>
      </w:pPr>
      <w:r>
        <w:t>1. Modify Listing Requirement</w:t>
      </w:r>
    </w:p>
    <w:p>
      <w:pPr>
        <w:pStyle w:val="ListBullet"/>
      </w:pPr>
      <w:r>
        <w:t>**Negotiate**: Partial funding before listing completion</w:t>
      </w:r>
    </w:p>
    <w:p>
      <w:pPr>
        <w:pStyle w:val="ListBullet"/>
      </w:pPr>
      <w:r>
        <w:t>**Alternative**: Allow OTC Markets listing initially, upgrade later</w:t>
      </w:r>
    </w:p>
    <w:p>
      <w:pPr>
        <w:pStyle w:val="ListBullet"/>
      </w:pPr>
      <w:r>
        <w:t>**Bridge funding**: Request interim financing for listing costs</w:t>
      </w:r>
    </w:p>
    <w:p/>
    <w:p>
      <w:pPr>
        <w:pStyle w:val="Heading3"/>
      </w:pPr>
      <w:r>
        <w:t>2. Clarify Milestone Thresholds</w:t>
      </w:r>
    </w:p>
    <w:p>
      <w:pPr>
        <w:pStyle w:val="ListBullet"/>
      </w:pPr>
      <w:r>
        <w:t>**Demand**: Specific, achievable targets for Tranches 3 &amp; 4</w:t>
      </w:r>
    </w:p>
    <w:p>
      <w:pPr>
        <w:pStyle w:val="ListBullet"/>
      </w:pPr>
      <w:r>
        <w:t>**Benchmark**: Industry-standard growth metrics</w:t>
      </w:r>
    </w:p>
    <w:p>
      <w:pPr>
        <w:pStyle w:val="ListBullet"/>
      </w:pPr>
      <w:r>
        <w:t>**Protection**: Right to modify if market conditions change</w:t>
      </w:r>
    </w:p>
    <w:p/>
    <w:p>
      <w:pPr>
        <w:pStyle w:val="Heading3"/>
      </w:pPr>
      <w:r>
        <w:t>3. Improve Pricing Terms</w:t>
      </w:r>
    </w:p>
    <w:p>
      <w:pPr>
        <w:pStyle w:val="ListBullet"/>
      </w:pPr>
      <w:r>
        <w:t>**Request**: Minimum price floor</w:t>
      </w:r>
    </w:p>
    <w:p>
      <w:pPr>
        <w:pStyle w:val="ListBullet"/>
      </w:pPr>
      <w:r>
        <w:t>**Alternative**: Fixed pricing with market adjustments</w:t>
      </w:r>
    </w:p>
    <w:p>
      <w:pPr>
        <w:pStyle w:val="ListBullet"/>
      </w:pPr>
      <w:r>
        <w:t>**Protection**: Anti-dilution provisions</w:t>
      </w:r>
    </w:p>
    <w:p/>
    <w:p>
      <w:pPr>
        <w:pStyle w:val="Heading3"/>
      </w:pPr>
      <w:r>
        <w:t>4. Reduce Warrant Coverage</w:t>
      </w:r>
    </w:p>
    <w:p>
      <w:pPr>
        <w:pStyle w:val="ListBullet"/>
      </w:pPr>
      <w:r>
        <w:t>**Negotiate**: Lower warrant ratio (e.g., 50% instead of 100%)</w:t>
      </w:r>
    </w:p>
    <w:p>
      <w:pPr>
        <w:pStyle w:val="ListBullet"/>
      </w:pPr>
      <w:r>
        <w:t>**Alternative**: Performance-based warrant vesting</w:t>
      </w:r>
    </w:p>
    <w:p>
      <w:pPr>
        <w:pStyle w:val="ListBullet"/>
      </w:pPr>
      <w:r>
        <w:t>**Protection**: Stronger blocker provisions</w:t>
      </w:r>
    </w:p>
    <w:p/>
    <w:p>
      <w:pPr>
        <w:pStyle w:val="Heading3"/>
      </w:pPr>
      <w:r>
        <w:t>5. Extend Timeline</w:t>
      </w:r>
    </w:p>
    <w:p>
      <w:pPr>
        <w:pStyle w:val="ListBullet"/>
      </w:pPr>
      <w:r>
        <w:t>**Request**: Longer exercise period (5 years instead of 3)</w:t>
      </w:r>
    </w:p>
    <w:p>
      <w:pPr>
        <w:pStyle w:val="ListBullet"/>
      </w:pPr>
      <w:r>
        <w:t>**Flexibility**: Ability to extend if listing delayed</w:t>
      </w:r>
    </w:p>
    <w:p>
      <w:pPr>
        <w:pStyle w:val="ListBullet"/>
      </w:pPr>
      <w:r>
        <w:t>**Protection**: Force majeure provisions</w:t>
      </w:r>
    </w:p>
    <w:p/>
    <w:p>
      <w:pPr>
        <w:pStyle w:val="Heading2"/>
      </w:pPr>
      <w:r>
        <w:t>LISTING STRATEGY RECOMMENDATION</w:t>
      </w:r>
    </w:p>
    <w:p/>
    <w:p>
      <w:pPr>
        <w:pStyle w:val="Heading3"/>
      </w:pPr>
      <w:r>
        <w:t>RECOMMENDED APPROACH: OTC Markets First</w:t>
      </w:r>
    </w:p>
    <w:p>
      <w:r>
        <w:rPr>
          <w:b/>
        </w:rPr>
        <w:t>Phase 1: OTC Markets Listing (2-4 months)</w:t>
      </w:r>
    </w:p>
    <w:p>
      <w:pPr>
        <w:pStyle w:val="ListBullet"/>
      </w:pPr>
      <w:r>
        <w:t>List on OTCQX as Norwegian company</w:t>
      </w:r>
    </w:p>
    <w:p>
      <w:pPr>
        <w:pStyle w:val="ListBullet"/>
      </w:pPr>
      <w:r>
        <w:t>Maintain Oslo Børs primary listing</w:t>
      </w:r>
    </w:p>
    <w:p>
      <w:pPr>
        <w:pStyle w:val="ListBullet"/>
      </w:pPr>
      <w:r>
        <w:t>Access US investor base immediately</w:t>
      </w:r>
    </w:p>
    <w:p>
      <w:pPr>
        <w:pStyle w:val="ListBullet"/>
      </w:pPr>
      <w:r>
        <w:t>Lower costs ($14K-$40K annually vs $500K+ for major exchanges)</w:t>
      </w:r>
    </w:p>
    <w:p/>
    <w:p>
      <w:r>
        <w:rPr>
          <w:b/>
        </w:rPr>
        <w:t>Phase 2: Potential Upgrade (12-24 months later)</w:t>
      </w:r>
    </w:p>
    <w:p>
      <w:pPr>
        <w:pStyle w:val="ListBullet"/>
      </w:pPr>
      <w:r>
        <w:t>After accessing initial tranches and growing</w:t>
      </w:r>
    </w:p>
    <w:p>
      <w:pPr>
        <w:pStyle w:val="ListBullet"/>
      </w:pPr>
      <w:r>
        <w:t>Consider NASDAQ or NYSE upgrade if beneficial</w:t>
      </w:r>
    </w:p>
    <w:p>
      <w:pPr>
        <w:pStyle w:val="ListBullet"/>
      </w:pPr>
      <w:r>
        <w:t>Use OTC listing to build US investor base and track record</w:t>
      </w:r>
    </w:p>
    <w:p/>
    <w:p>
      <w:r>
        <w:t>Benefits of This Approach:</w:t>
      </w:r>
    </w:p>
    <w:p>
      <w:pPr>
        <w:pStyle w:val="ListBullet"/>
      </w:pPr>
      <w:r>
        <w:t>Faster access to investment funds</w:t>
      </w:r>
    </w:p>
    <w:p>
      <w:pPr>
        <w:pStyle w:val="ListBullet"/>
      </w:pPr>
      <w:r>
        <w:t>Lower upfront costs</w:t>
      </w:r>
    </w:p>
    <w:p>
      <w:pPr>
        <w:pStyle w:val="ListBullet"/>
      </w:pPr>
      <w:r>
        <w:t>Reduced regulatory complexity</w:t>
      </w:r>
    </w:p>
    <w:p>
      <w:pPr>
        <w:pStyle w:val="ListBullet"/>
      </w:pPr>
      <w:r>
        <w:t>Maintains Norwegian corporate structure initially</w:t>
      </w:r>
    </w:p>
    <w:p>
      <w:pPr>
        <w:pStyle w:val="ListBullet"/>
      </w:pPr>
      <w:r>
        <w:t>Proven pathway used by 30+ Nordic companies</w:t>
      </w:r>
    </w:p>
    <w:p/>
    <w:p>
      <w:r>
        <w:t>Negotiation Point: Request investor acceptance of OTC listing initially, with commitment to upgrade to major exchange within 24 months if certain milestones are met.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ustomTable">
    <w:name w:val="Custom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