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666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30.09.2020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3009/666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/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30.09.2020, 15:10:00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30.09.2020, 15:10:00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qw, №666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666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