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685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2603/685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Гараж , №685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685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ООО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