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733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04.05.2021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0405/733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ИП Синкевич Е. 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ПК "Амир-С"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04.05.2021,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04.05.2021,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Производственный цех , №733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733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ИП Синкевич Е. Н.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