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{nid}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{date}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{</w:t>
            </w:r>
            <w:bookmarkStart w:id="0" w:name="tw-target-text11"/>
            <w:bookmarkEnd w:id="0"/>
            <w:r>
              <w:rPr>
                <w:rFonts w:eastAsia="Calibri" w:ascii="Times New Roman" w:hAnsi="Times New Roman" w:eastAsiaTheme="minorHAnsi"/>
                <w:b w:val="false"/>
                <w:i w:val="false"/>
                <w:caps w:val="false"/>
                <w:smallCaps w:val="false"/>
                <w:color w:val="222222"/>
                <w:spacing w:val="0"/>
                <w:sz w:val="28"/>
                <w:szCs w:val="28"/>
                <w:lang w:val="en-US" w:eastAsia="ru-RU"/>
              </w:rPr>
              <w:t>protocol</w:t>
            </w: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_id}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{</w:t>
      </w:r>
      <w:r>
        <w:rPr>
          <w:rFonts w:eastAsia="Calibri" w:ascii="Times New Roman" w:hAnsi="Times New Roman" w:eastAsiaTheme="minorHAns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operator</w:t>
      </w:r>
      <w:r>
        <w:rPr>
          <w:rFonts w:eastAsia="Calibri" w:ascii="Times New Roman" w:hAnsi="Times New Roman" w:eastAsiaTheme="minorHAnsi"/>
          <w:sz w:val="28"/>
          <w:szCs w:val="28"/>
        </w:rPr>
        <w:t>}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{</w:t>
      </w:r>
      <w:r>
        <w:rPr>
          <w:rFonts w:eastAsia="Calibri" w:ascii="Times New Roman" w:hAnsi="Times New Roman" w:eastAsiaTheme="minorHAns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crisis_manager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}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{</w:t>
      </w:r>
      <w:r>
        <w:rPr>
          <w:rFonts w:eastAsia="Calibri" w:ascii="Times New Roman" w:hAnsi="Times New Roman" w:eastAsiaTheme="minorHAns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debitor</w:t>
      </w:r>
      <w:r>
        <w:rPr>
          <w:rFonts w:eastAsia="Calibri" w:ascii="Times New Roman" w:hAnsi="Times New Roman" w:eastAsiaTheme="minorHAnsi"/>
          <w:sz w:val="28"/>
          <w:szCs w:val="28"/>
        </w:rPr>
        <w:t>}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{date1} по {date2}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{count_applications} заявлений. В ходе электронных торгов участниками сделано {count_bets}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{max_price}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{fio}.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{head_position}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{</w:t>
            </w:r>
            <w:r>
              <w:rPr>
                <w:rFonts w:eastAsia="Calibri" w:ascii="Times New Roman" w:hAnsi="Times New Roman" w:eastAsia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eastAsia="ru-RU"/>
              </w:rPr>
              <w:t>field_head_crisis</w:t>
            </w: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