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Міністерство освіти і науки України</w:t>
        <w:br w:type="textWrapping"/>
        <w:t xml:space="preserve">Національний технічний університет України</w:t>
      </w:r>
    </w:p>
    <w:p w:rsidR="00000000" w:rsidDel="00000000" w:rsidP="00000000" w:rsidRDefault="00000000" w:rsidRPr="00000000" w14:paraId="00000002">
      <w:pPr>
        <w:spacing w:line="240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«Київський політехнічний інститут  ім. І. Сікорського»</w:t>
      </w:r>
    </w:p>
    <w:p w:rsidR="00000000" w:rsidDel="00000000" w:rsidP="00000000" w:rsidRDefault="00000000" w:rsidRPr="00000000" w14:paraId="00000003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40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Кафедра інженерії програмного забезпечення в енергетиці</w:t>
      </w:r>
    </w:p>
    <w:p w:rsidR="00000000" w:rsidDel="00000000" w:rsidP="00000000" w:rsidRDefault="00000000" w:rsidRPr="00000000" w14:paraId="00000005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00" w:line="276" w:lineRule="auto"/>
        <w:ind w:firstLine="0"/>
        <w:jc w:val="center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276" w:lineRule="auto"/>
        <w:ind w:firstLine="0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Лабораторна робота № 2</w:t>
      </w:r>
    </w:p>
    <w:p w:rsidR="00000000" w:rsidDel="00000000" w:rsidP="00000000" w:rsidRDefault="00000000" w:rsidRPr="00000000" w14:paraId="0000000C">
      <w:pPr>
        <w:tabs>
          <w:tab w:val="center" w:leader="none" w:pos="5233"/>
          <w:tab w:val="left" w:leader="none" w:pos="8010"/>
        </w:tabs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курсу: «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Основи Веб-програмування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»</w:t>
      </w:r>
    </w:p>
    <w:p w:rsidR="00000000" w:rsidDel="00000000" w:rsidP="00000000" w:rsidRDefault="00000000" w:rsidRPr="00000000" w14:paraId="0000000D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bookmarkStart w:colFirst="0" w:colLast="0" w:name="_kz9hyfr439v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6" w:lineRule="auto"/>
        <w:ind w:firstLine="0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Виконала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  <w:t xml:space="preserve">студентка 2-го курсу,</w:t>
        <w:br w:type="textWrapping"/>
        <w:t xml:space="preserve">групи ТВ-32</w:t>
      </w:r>
    </w:p>
    <w:p w:rsidR="00000000" w:rsidDel="00000000" w:rsidP="00000000" w:rsidRDefault="00000000" w:rsidRPr="00000000" w14:paraId="00000016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Дідиченко Вікторія Сергіївна</w:t>
      </w:r>
    </w:p>
    <w:p w:rsidR="00000000" w:rsidDel="00000000" w:rsidP="00000000" w:rsidRDefault="00000000" w:rsidRPr="00000000" w14:paraId="00000017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Посилання на GitHub репозиторій: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32"/>
            <w:szCs w:val="32"/>
            <w:u w:val="single"/>
            <w:rtl w:val="0"/>
          </w:rPr>
          <w:t xml:space="preserve">https://github.com/tori-dn/PW2TB-32_Didychenko_Victoria_Serhiivna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Перевірив: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ind w:firstLine="0"/>
        <w:jc w:val="righ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Недашківський О.Л.</w:t>
      </w:r>
    </w:p>
    <w:p w:rsidR="00000000" w:rsidDel="00000000" w:rsidP="00000000" w:rsidRDefault="00000000" w:rsidRPr="00000000" w14:paraId="0000001B">
      <w:pPr>
        <w:tabs>
          <w:tab w:val="left" w:leader="none" w:pos="1260"/>
          <w:tab w:val="left" w:leader="none" w:pos="8550"/>
        </w:tabs>
        <w:spacing w:after="200" w:line="276" w:lineRule="auto"/>
        <w:ind w:firstLine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1C">
      <w:pPr>
        <w:spacing w:after="200"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00" w:line="276" w:lineRule="auto"/>
        <w:ind w:firstLine="0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Київ 2025</w:t>
      </w:r>
    </w:p>
    <w:p w:rsidR="00000000" w:rsidDel="00000000" w:rsidP="00000000" w:rsidRDefault="00000000" w:rsidRPr="00000000" w14:paraId="0000001E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1:</w:t>
      </w:r>
    </w:p>
    <w:p w:rsidR="00000000" w:rsidDel="00000000" w:rsidP="00000000" w:rsidRDefault="00000000" w:rsidRPr="00000000" w14:paraId="0000001F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Написати Веб калькулятор для розрахунку складу сухої та горючої маси палива та нижчої теплоти згоряння для робочої, сухої та горючої маси за заданим складом компонентів палива, що задаються у вигляді значень окремих компонентів типу: HP, %;CP, %; SP, %; NP, %;OP, %; WP, %; AP, % (див. табл. 1.3.).</w:t>
      </w:r>
    </w:p>
    <w:p w:rsidR="00000000" w:rsidDel="00000000" w:rsidP="00000000" w:rsidRDefault="00000000" w:rsidRPr="00000000" w14:paraId="00000020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Короткий теоретичний матеріал:</w:t>
      </w:r>
    </w:p>
    <w:p w:rsidR="00000000" w:rsidDel="00000000" w:rsidP="00000000" w:rsidRDefault="00000000" w:rsidRPr="00000000" w14:paraId="00000022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Валовий викид j-ї забруднювальної речовини Ej, т, що надходить у атмосферу з димовими газами енергетичної установки за проміжок часу Р, визначається як сума валових викидів цієї речовини під час спалювання різних видів палива, у тому числі під час їх одночасного спільного спалювання:</w:t>
      </w:r>
    </w:p>
    <w:p w:rsidR="00000000" w:rsidDel="00000000" w:rsidP="00000000" w:rsidRDefault="00000000" w:rsidRPr="00000000" w14:paraId="00000023">
      <w:pPr>
        <w:ind w:firstLine="566.9291338582675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3361488" cy="642908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1488" cy="6429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(2.1)</w:t>
      </w:r>
    </w:p>
    <w:p w:rsidR="00000000" w:rsidDel="00000000" w:rsidP="00000000" w:rsidRDefault="00000000" w:rsidRPr="00000000" w14:paraId="00000024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Показник емісії речовини у вигляді суспендованих твердих частинок (далі – твердих частинок) визначається як специфічний і розраховується за формулами:</w:t>
      </w:r>
    </w:p>
    <w:p w:rsidR="00000000" w:rsidDel="00000000" w:rsidP="00000000" w:rsidRDefault="00000000" w:rsidRPr="00000000" w14:paraId="00000025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3648188" cy="75323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8188" cy="7532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(2.2)</w:t>
      </w:r>
    </w:p>
    <w:p w:rsidR="00000000" w:rsidDel="00000000" w:rsidP="00000000" w:rsidRDefault="00000000" w:rsidRPr="00000000" w14:paraId="00000026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181588" cy="78744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588" cy="787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(2.3)</w:t>
      </w:r>
    </w:p>
    <w:p w:rsidR="00000000" w:rsidDel="00000000" w:rsidP="00000000" w:rsidRDefault="00000000" w:rsidRPr="00000000" w14:paraId="00000027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Вміст золи 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perscript"/>
          <w:rtl w:val="0"/>
        </w:rPr>
        <w:t xml:space="preserve">r 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в паливі та горючих у викиді твердих частинок Г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вин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визначаються при проведенні технічного аналізу за ГОСТ 11022-95 (ISO 1171-81) палива і леткої золи, яка виходить з енергетичної установки, відповідно.</w:t>
      </w:r>
    </w:p>
    <w:p w:rsidR="00000000" w:rsidDel="00000000" w:rsidP="00000000" w:rsidRDefault="00000000" w:rsidRPr="00000000" w14:paraId="00000028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Зола палива виходить з енергетичної установки у вигляді леткої золи (виносу) та або донної золи (шлаку). Частка золи, яка виноситься з енергетичної установки у вигляді леткої золи, 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вин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залежить від технології спалювання палива і визначається за даними останніх випробувань енергетичної установки, а за їх відсутності – за паспортними даними. За відсутності таких даних значення a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вин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приймаються згідно з таблицею 2.1.</w:t>
      </w:r>
    </w:p>
    <w:p w:rsidR="00000000" w:rsidDel="00000000" w:rsidP="00000000" w:rsidRDefault="00000000" w:rsidRPr="00000000" w14:paraId="00000029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Таблиця 2.1. Частка леткої золи aвин при різних технологіях спалювання палива [1]</w:t>
      </w:r>
    </w:p>
    <w:p w:rsidR="00000000" w:rsidDel="00000000" w:rsidP="00000000" w:rsidRDefault="00000000" w:rsidRPr="00000000" w14:paraId="0000002A">
      <w:pPr>
        <w:ind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22987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Значення ефективності очищення димових газів від твердих частинок η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зу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визначається за результатами останніх випробувань золоуловлювальної установки або за її паспортними даними. Ефективність золоуловлювальної установки визначається як різниця між одиницею та відношенням масових концентрацій твердих частинок після і до золоуловлювальної установки.</w:t>
      </w:r>
    </w:p>
    <w:p w:rsidR="00000000" w:rsidDel="00000000" w:rsidP="00000000" w:rsidRDefault="00000000" w:rsidRPr="00000000" w14:paraId="0000002C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При використанні сорбенту для зв’язування оксидів сірки в топці котла (наприклад, за технологіями спалювання палива в киплячому шарі) чи при застосуванні технологій сухого або напівсухого зв’язування сірки утворюються тверді частинки сульфату та сульфіту і невикористаного сорбенту. Показник емісії твердих частинок невикористаного в енергетичній установці сорбенту та утворених сульфатів і сульфітів k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vertAlign w:val="subscript"/>
          <w:rtl w:val="0"/>
        </w:rPr>
        <w:t xml:space="preserve">твS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, г/ГДж, розраховується за формулою:</w:t>
      </w:r>
    </w:p>
    <w:p w:rsidR="00000000" w:rsidDel="00000000" w:rsidP="00000000" w:rsidRDefault="00000000" w:rsidRPr="00000000" w14:paraId="0000002D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819763" cy="779667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763" cy="77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(2.4)</w:t>
      </w:r>
    </w:p>
    <w:p w:rsidR="00000000" w:rsidDel="00000000" w:rsidP="00000000" w:rsidRDefault="00000000" w:rsidRPr="00000000" w14:paraId="0000002E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Таблиця 2.2. Ефективність зв’язування оксидів сірки золою або сорбентом у топці [1]</w:t>
      </w:r>
    </w:p>
    <w:p w:rsidR="00000000" w:rsidDel="00000000" w:rsidP="00000000" w:rsidRDefault="00000000" w:rsidRPr="00000000" w14:paraId="0000002F">
      <w:pPr>
        <w:ind w:firstLine="0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6120000" cy="1879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Таблиця 2.3. Ефективність та коефіцієнт роботи сіркоочисної установки. [1]</w:t>
      </w:r>
    </w:p>
    <w:p w:rsidR="00000000" w:rsidDel="00000000" w:rsidP="00000000" w:rsidRDefault="00000000" w:rsidRPr="00000000" w14:paraId="00000031">
      <w:pPr>
        <w:ind w:left="0"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648438" cy="3223914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438" cy="3223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629388" cy="606242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29388" cy="6062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566.9291338582675"/>
        <w:jc w:val="center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76" w:lineRule="auto"/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Виконання: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Отримуємо значення параметрів від користувача та запишемо їх у змінні: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605942" cy="69747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5942" cy="6974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За формулами розрахуємо всі необхідні значення: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295110" cy="2775198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110" cy="27751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2"/>
        </w:numPr>
        <w:spacing w:line="276" w:lineRule="auto"/>
        <w:ind w:left="720" w:hanging="360"/>
        <w:rPr>
          <w:rFonts w:ascii="Times New Roman" w:cs="Times New Roman" w:eastAsia="Times New Roman" w:hAnsi="Times New Roman"/>
          <w:sz w:val="30"/>
          <w:szCs w:val="3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Після цього виведемо результати обрахунків:</w:t>
      </w:r>
    </w:p>
    <w:p w:rsidR="00000000" w:rsidDel="00000000" w:rsidP="00000000" w:rsidRDefault="00000000" w:rsidRPr="00000000" w14:paraId="0000003B">
      <w:pPr>
        <w:spacing w:line="276" w:lineRule="auto"/>
        <w:ind w:firstLine="708.6614173228347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5360020" cy="121096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0020" cy="12109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76" w:lineRule="auto"/>
        <w:ind w:firstLine="0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Результати виконання:</w:t>
      </w:r>
    </w:p>
    <w:p w:rsidR="00000000" w:rsidDel="00000000" w:rsidP="00000000" w:rsidRDefault="00000000" w:rsidRPr="00000000" w14:paraId="0000003E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Результати перевірки на контрольному прикладі:</w:t>
      </w:r>
    </w:p>
    <w:p w:rsidR="00000000" w:rsidDel="00000000" w:rsidP="00000000" w:rsidRDefault="00000000" w:rsidRPr="00000000" w14:paraId="0000003F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572113" cy="4038818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113" cy="4038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Результати отримані відповідно до варіанту заданих значень:</w:t>
      </w:r>
    </w:p>
    <w:p w:rsidR="00000000" w:rsidDel="00000000" w:rsidP="00000000" w:rsidRDefault="00000000" w:rsidRPr="00000000" w14:paraId="00000043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</w:rPr>
        <w:drawing>
          <wp:inline distB="114300" distT="114300" distL="114300" distR="114300">
            <wp:extent cx="4924538" cy="425057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4538" cy="42505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firstLine="566.9291338582675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76" w:lineRule="auto"/>
        <w:ind w:firstLine="566.9291338582675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Висновок:</w:t>
      </w:r>
    </w:p>
    <w:p w:rsidR="00000000" w:rsidDel="00000000" w:rsidP="00000000" w:rsidRDefault="00000000" w:rsidRPr="00000000" w14:paraId="00000048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У рамках цього завдання було виконано розробку веб-калькулятора для розрахунку викидів твердих частинок при спалюванні трьох видів палива: донецького газового вугілля марки ГР, високосірчистого мазуту марки 40 та природного газу з газопроводу Уренгой-Ужгород. Розрахунки базувалися на основі наданих формул, які враховують показники емісії та валові викиди з урахуванням нижчої теплоти згоряння, зольності, частки горючих речовин у викидах, а також ефективності золовловлювальних установок. Отримані результати дозволяють користувачу швидко визначити емісію твердих частинок у г/ГДж та валові викиди в тоннах, що є важливим для оцінки екологічного впливу спалювання палива. Калькулятор забезпечує точність розрахунків, використовуючи фіксовані значення параметрів із прикладу, що відповідає вимогам завдання.</w:t>
      </w:r>
    </w:p>
    <w:p w:rsidR="00000000" w:rsidDel="00000000" w:rsidP="00000000" w:rsidRDefault="00000000" w:rsidRPr="00000000" w14:paraId="00000049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566.9291338582675"/>
        <w:jc w:val="both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Програмна реалізація калькулятора була виконана за допомогою HTML, CSS та JavaScript, що забезпечило зручний інтерфейс із трьома полями введення для маси або об’єму палива. Дизайн виконаний у світло-блакитних тонах із чіткими текстовими мітками та кнопкою для запуску розрахунків, що робить калькулятор інтуїтивно зрозумілим для користувача. Логіка обчислень, реалізована в JavaScript, базується на формулах із завдання, де всі константи (теплота згоряння, зольність тощо) були зафіксовані, а введені користувачем дані обробляються для точного визначення показників емісії та викидів. Такий підхід дозволяє ефективно виконувати розрахунки без необхідності введення додаткових параметрів, забезпечуючи простоту використання та відповідність технічним вимогам.</w:t>
      </w:r>
    </w:p>
    <w:sectPr>
      <w:pgSz w:h="16834" w:w="11909" w:orient="portrait"/>
      <w:pgMar w:bottom="850.3937007874016" w:top="850.3937007874016" w:left="1417.3228346456694" w:right="850.3937007874016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hyperlink" Target="https://github.com/tori-dn/PW2TB-32_Didychenko_Victoria_Serhiivna" TargetMode="External"/><Relationship Id="rId18" Type="http://schemas.openxmlformats.org/officeDocument/2006/relationships/image" Target="media/image12.png"/><Relationship Id="rId7" Type="http://schemas.openxmlformats.org/officeDocument/2006/relationships/image" Target="media/image9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