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666666"/>
          <w:sz w:val="26"/>
          <w:szCs w:val="26"/>
        </w:rPr>
        <w:t xml:space="preserve">BUSINESS EXECUTIVE GROUP</w:t>
      </w:r>
    </w:p>
    <w:p>
      <w:pPr>
        <w:spacing w:after="480"/>
        <w:jc w:val="center"/>
      </w:pPr>
      <w:r>
        <w:rPr>
          <w:b/>
          <w:bCs/>
          <w:color w:val="ECAC60"/>
          <w:sz w:val="22"/>
          <w:szCs w:val="22"/>
        </w:rPr>
        <w:t xml:space="preserve">beghr.com</w:t>
      </w:r>
    </w:p>
    <w:p>
      <w:pPr>
        <w:spacing w:after="120"/>
        <w:jc w:val="center"/>
      </w:pPr>
      <w:r>
        <w:rPr>
          <w:b/>
          <w:bCs/>
          <w:sz w:val="46"/>
          <w:szCs w:val="46"/>
        </w:rPr>
        <w:t xml:space="preserve">HCM Software: Organic SEO Domination Plan</w:t>
      </w:r>
    </w:p>
    <w:p>
      <w:pPr>
        <w:spacing w:after="600"/>
        <w:jc w:val="center"/>
      </w:pPr>
      <w:r>
        <w:rPr>
          <w:i/>
          <w:iCs/>
          <w:color w:val="666666"/>
          <w:sz w:val="24"/>
          <w:szCs w:val="24"/>
        </w:rPr>
        <w:t xml:space="preserve">Industry &amp; Keyword Gap Analysis · Top-5 Competitor Comparison · Lead-Magnet Roadmap</w:t>
      </w:r>
    </w:p>
    <w:p>
      <w:pPr>
        <w:spacing w:after="60"/>
        <w:jc w:val="center"/>
      </w:pPr>
      <w:r>
        <w:rPr>
          <w:sz w:val="22"/>
          <w:szCs w:val="22"/>
        </w:rPr>
        <w:t xml:space="preserve">Prepared by Claude for Anthony Moretti</w:t>
      </w:r>
    </w:p>
    <w:p>
      <w:pPr>
        <w:spacing w:after="60"/>
        <w:jc w:val="center"/>
      </w:pPr>
      <w:r>
        <w:rPr>
          <w:color w:val="666666"/>
          <w:sz w:val="20"/>
          <w:szCs w:val="20"/>
        </w:rPr>
        <w:t xml:space="preserve">June 28, 2026  |  CONFIDENTIAL</w:t>
      </w:r>
    </w:p>
    <w:p>
      <w:pPr>
        <w:spacing w:before="480"/>
        <w:jc w:val="center"/>
      </w:pPr>
      <w:r>
        <w:rPr>
          <w:i/>
          <w:iCs/>
          <w:color w:val="666666"/>
          <w:sz w:val="18"/>
          <w:szCs w:val="18"/>
        </w:rPr>
        <w:t xml:space="preserve">Companion to BEG_National_SEO_Conversion_Strategy.docx. Built to the existing framework: BEG-SEO-Master.csv, PAGE_TEMPLATE.md, and brand-voice rules.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You asked the right question: what are we missing, and how do we completely own organic search for the HCM software and managed payroll space. After auditing the live site against the existing framework files and pulling real competitor data, here is the honest headline.</w:t>
      </w:r>
    </w:p>
    <w:p>
      <w:pPr>
        <w:spacing w:after="160" w:line="276"/>
      </w:pPr>
      <w:r>
        <w:rPr>
          <w:b/>
          <w:bCs/>
        </w:rPr>
        <w:t xml:space="preserve">Your single biggest constraint is domain authority. </w:t>
      </w:r>
      <w:r>
        <w:t xml:space="preserve">beghr.com currently has an Ahrefs Domain Rating of </w:t>
      </w:r>
      <w:r>
        <w:rPr>
          <w:b/>
          <w:bCs/>
        </w:rPr>
        <w:t xml:space="preserve">0</w:t>
      </w:r>
      <w:r>
        <w:t xml:space="preserve">. Your competitors sit between </w:t>
      </w:r>
      <w:r>
        <w:rPr>
          <w:b/>
          <w:bCs/>
        </w:rPr>
        <w:t xml:space="preserve">71 and 91</w:t>
      </w:r>
      <w:r>
        <w:t xml:space="preserve">. That gap means you will not outrank ADP, Gusto, Rippling or Paylocity for head terms like “HCM software” or “managed payroll services” in 2026 no matter how good the page is. So we do not fight there. We win the war they are not fighting: thousands of hyper-specific, buyer-ready long-tail queries where the giants have thin pages or none at all.</w:t>
      </w:r>
    </w:p>
    <w:p>
      <w:pPr>
        <w:spacing w:after="160" w:line="276"/>
      </w:pPr>
      <w:r>
        <w:rPr>
          <w:b w:val="false"/>
          <w:bCs w:val="false"/>
        </w:rPr>
        <w:t xml:space="preserve">That is exactly why the programmatic build you already have is the right strategy. The job now is not to start over. It is to close three specific gaps and add assets the competition does not have.</w:t>
      </w:r>
    </w:p>
    <w:p>
      <w:pPr>
        <w:pStyle w:val="Heading3"/>
      </w:pPr>
      <w:r>
        <w:t xml:space="preserve">The three gaps</w:t>
      </w:r>
    </w:p>
    <w:p>
      <w:pPr>
        <w:pStyle w:val="ListParagraph"/>
        <w:numPr>
          <w:ilvl w:val="0"/>
          <w:numId w:val="2"/>
        </w:numPr>
        <w:spacing w:after="80" w:line="270"/>
      </w:pPr>
      <w:r>
        <w:rPr>
          <w:b/>
          <w:bCs/>
        </w:rPr>
        <w:t xml:space="preserve">The HCM software silo is your thinnest. </w:t>
      </w:r>
      <w:r>
        <w:t xml:space="preserve">Managed payroll has 35 industry pages. HCM software has only 7, plus 3 comparison pages. The HCM side is where the easy ground is sitting unclaimed.</w:t>
      </w:r>
    </w:p>
    <w:p>
      <w:pPr>
        <w:pStyle w:val="ListParagraph"/>
        <w:numPr>
          <w:ilvl w:val="0"/>
          <w:numId w:val="2"/>
        </w:numPr>
        <w:spacing w:after="80" w:line="270"/>
      </w:pPr>
      <w:r>
        <w:rPr>
          <w:b/>
          <w:bCs/>
        </w:rPr>
        <w:t xml:space="preserve">You are missing the highest-converting page type entirely. </w:t>
      </w:r>
      <w:r>
        <w:t xml:space="preserve">“isolved vs [competitor]” and “[competitor] alternative” pages are buyer-ready and low competition. You have 3. The realistic target is 25+.</w:t>
      </w:r>
    </w:p>
    <w:p>
      <w:pPr>
        <w:pStyle w:val="ListParagraph"/>
        <w:numPr>
          <w:ilvl w:val="0"/>
          <w:numId w:val="2"/>
        </w:numPr>
        <w:spacing w:after="80" w:line="270"/>
      </w:pPr>
      <w:r>
        <w:rPr>
          <w:b/>
          <w:bCs/>
        </w:rPr>
        <w:t xml:space="preserve">Every resource you have is payroll-only and ungated. </w:t>
      </w:r>
      <w:r>
        <w:t xml:space="preserve">Your calculator, complexity scorer, buyers guide and checklist are good, but none speak to the HCM buyer and none build an email list.</w:t>
      </w:r>
    </w:p>
    <w:p>
      <w:pPr>
        <w:pStyle w:val="Heading3"/>
      </w:pPr>
      <w:r>
        <w:t xml:space="preserve">The one thing only you can claim</w:t>
      </w:r>
    </w:p>
    <w:p>
      <w:pPr>
        <w:spacing w:after="160" w:line="276"/>
      </w:pPr>
      <w:r>
        <w:rPr>
          <w:b/>
          <w:bCs/>
        </w:rPr>
        <w:t xml:space="preserve">isolved is the only HCM platform with a generally-available Connector for Claude (live since June 2026). </w:t>
      </w:r>
      <w:r>
        <w:t xml:space="preserve">No competitor on this list can say that. “AI HR software” and “AI payroll” are exploding, low-competition search categories. This is a brand-new keyword frontier you can own before the DR-90 incumbents publish a single page on it. It is the most defensible organic angle in this entire document.</w:t>
      </w:r>
    </w:p>
    <w:p>
      <w:pPr>
        <w:spacing w:after="160" w:line="276"/>
      </w:pPr>
      <w:r>
        <w:rPr>
          <w:b/>
          <w:bCs/>
        </w:rPr>
        <w:t xml:space="preserve">The rest of this plan is the build list: missing industries, the full competitor-comparison matrix, the keyword clusters you have not targeted, the lead magnets that will actually generate leads (validated against what competitors run), and a 90-day sequence. At the end I have built the first lead magnet for you.</w:t>
      </w:r>
    </w:p>
    <w:p>
      <w:r>
        <w:br w:type="page"/>
      </w:r>
    </w:p>
    <w:p>
      <w:pPr>
        <w:pStyle w:val="Heading1"/>
      </w:pPr>
      <w:r>
        <w:t xml:space="preserve">2. Where You Stand: The Competitive SEO Reality</w:t>
      </w:r>
    </w:p>
    <w:p>
      <w:pPr>
        <w:spacing w:after="160" w:line="276"/>
      </w:pPr>
      <w:r>
        <w:t xml:space="preserve">Before any keyword list, you need to see the field honestly. Domain Rating (DR) is Ahrefs’ 0–100 measure of a site’s backlink authority and the single best predictor of whether a site can rank for competitive terms. These figures were pulled live on June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c>
          <w:tcPr>
            <w:tcW w:type="dxa" w:w="34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Domain</w:t>
            </w:r>
          </w:p>
        </w:tc>
        <w:tc>
          <w:tcPr>
            <w:tcW w:type="dxa" w:w="15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Domain Rating</w:t>
            </w:r>
          </w:p>
        </w:tc>
        <w:tc>
          <w:tcPr>
            <w:tcW w:type="dxa" w:w="44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What it means for you</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adp.com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91</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Untouchable on head terms. Beatable only on ultra-specific long-tail.</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paylocity.com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90</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Same. Strong on mid-market HCM terms.</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bamboohr.com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90</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Dominates “HR software” content. Weak on payroll depth.</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gusto.com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86</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Owns small-business payroll. Huge resource library.</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rippling.com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84</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Fast-rising. Strong on “vs” and alternative pages.</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paychex.com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81</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Legacy authority. Beatable on freshness and specificity.</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paycom.com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75</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Thinner content footprint than its DR suggests — a real opening.</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justworks.com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73</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PEO-focused. Narrow topical coverage.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isolvedhcm.com (your product)</w:t>
            </w:r>
          </w:p>
        </w:tc>
        <w:tc>
          <w:tcPr>
            <w:tcW w:type="dxa" w:w="15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b/>
                <w:bCs/>
                <w:sz w:val="20"/>
                <w:szCs w:val="20"/>
              </w:rPr>
              <w:t xml:space="preserve">71</w:t>
            </w:r>
          </w:p>
        </w:tc>
        <w:tc>
          <w:tcPr>
            <w:tcW w:type="dxa" w:w="446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20"/>
                <w:szCs w:val="20"/>
              </w:rPr>
              <w:t xml:space="preserve">Your supplier ranks; you can ride and complement its terms.</w:t>
            </w:r>
          </w:p>
        </w:tc>
      </w:tr>
      <w:tr>
        <w:tc>
          <w:tcPr>
            <w:tcW w:type="dxa" w:w="3400"/>
            <w:tcBorders>
              <w:top w:val="single" w:color="CCCCCC" w:sz="1"/>
              <w:left w:val="single" w:color="CCCCCC" w:sz="1"/>
              <w:bottom w:val="single" w:color="CCCCCC" w:sz="1"/>
              <w:right w:val="single" w:color="CCCCCC" w:sz="1"/>
            </w:tcBorders>
            <w:shd w:fill="ECAC60" w:val="clear"/>
            <w:tcMar>
              <w:top w:type="dxa" w:w="70"/>
              <w:left w:type="dxa" w:w="110"/>
              <w:bottom w:type="dxa" w:w="70"/>
              <w:right w:type="dxa" w:w="110"/>
            </w:tcMar>
          </w:tcPr>
          <w:p>
            <w:r>
              <w:rPr>
                <w:b/>
                <w:bCs/>
                <w:sz w:val="20"/>
                <w:szCs w:val="20"/>
              </w:rPr>
              <w:t xml:space="preserve">beghr.com (you)</w:t>
            </w:r>
          </w:p>
        </w:tc>
        <w:tc>
          <w:tcPr>
            <w:tcW w:type="dxa" w:w="1500"/>
            <w:tcBorders>
              <w:top w:val="single" w:color="CCCCCC" w:sz="1"/>
              <w:left w:val="single" w:color="CCCCCC" w:sz="1"/>
              <w:bottom w:val="single" w:color="CCCCCC" w:sz="1"/>
              <w:right w:val="single" w:color="CCCCCC" w:sz="1"/>
            </w:tcBorders>
            <w:shd w:fill="ECAC60" w:val="clear"/>
            <w:tcMar>
              <w:top w:type="dxa" w:w="70"/>
              <w:left w:type="dxa" w:w="110"/>
              <w:bottom w:type="dxa" w:w="70"/>
              <w:right w:type="dxa" w:w="110"/>
            </w:tcMar>
          </w:tcPr>
          <w:p>
            <w:r>
              <w:rPr>
                <w:b/>
                <w:bCs/>
                <w:sz w:val="20"/>
                <w:szCs w:val="20"/>
              </w:rPr>
              <w:t xml:space="preserve">0</w:t>
            </w:r>
          </w:p>
        </w:tc>
        <w:tc>
          <w:tcPr>
            <w:tcW w:type="dxa" w:w="4460"/>
            <w:tcBorders>
              <w:top w:val="single" w:color="CCCCCC" w:sz="1"/>
              <w:left w:val="single" w:color="CCCCCC" w:sz="1"/>
              <w:bottom w:val="single" w:color="CCCCCC" w:sz="1"/>
              <w:right w:val="single" w:color="CCCCCC" w:sz="1"/>
            </w:tcBorders>
            <w:shd w:fill="ECAC60" w:val="clear"/>
            <w:tcMar>
              <w:top w:type="dxa" w:w="70"/>
              <w:left w:type="dxa" w:w="110"/>
              <w:bottom w:type="dxa" w:w="70"/>
              <w:right w:type="dxa" w:w="110"/>
            </w:tcMar>
          </w:tcPr>
          <w:p>
            <w:r>
              <w:rPr>
                <w:sz w:val="20"/>
                <w:szCs w:val="20"/>
              </w:rPr>
              <w:t xml:space="preserve">New domain, no authority yet. Strategy must not depend on outranking the above head-to-head.</w:t>
            </w:r>
          </w:p>
        </w:tc>
      </w:tr>
    </w:tbl>
    <w:p>
      <w:pPr>
        <w:spacing w:after="120"/>
      </w:pPr>
      <w:r>
        <w:t xml:space="preserve"/>
      </w:r>
    </w:p>
    <w:p>
      <w:pPr>
        <w:pStyle w:val="Heading3"/>
      </w:pPr>
      <w:r>
        <w:t xml:space="preserve">What this dictates about strategy</w:t>
      </w:r>
    </w:p>
    <w:p>
      <w:pPr>
        <w:pStyle w:val="ListParagraph"/>
        <w:numPr>
          <w:ilvl w:val="0"/>
          <w:numId w:val="3"/>
        </w:numPr>
        <w:spacing w:after="80" w:line="270"/>
      </w:pPr>
      <w:r>
        <w:rPr>
          <w:b/>
          <w:bCs/>
        </w:rPr>
        <w:t xml:space="preserve">Do not target head terms yet. </w:t>
      </w:r>
      <w:r>
        <w:t xml:space="preserve">“HCM software,” “payroll services,” “HR software” are 6–12+ month plays at best. Seed them, but do not expect them to convert this year.</w:t>
      </w:r>
    </w:p>
    <w:p>
      <w:pPr>
        <w:pStyle w:val="ListParagraph"/>
        <w:numPr>
          <w:ilvl w:val="0"/>
          <w:numId w:val="3"/>
        </w:numPr>
        <w:spacing w:after="80" w:line="270"/>
      </w:pPr>
      <w:r>
        <w:rPr>
          <w:b/>
          <w:bCs/>
        </w:rPr>
        <w:t xml:space="preserve">Win on specificity. </w:t>
      </w:r>
      <w:r>
        <w:t xml:space="preserve">“isolved vs Paychex for restaurants,” “best HCM software for a 75-employee manufacturer,” “switch from ADP to isolved” — these have low competition and high buyer intent. A DR-0 site can rank for them in 60–90 days with a strong page.</w:t>
      </w:r>
    </w:p>
    <w:p>
      <w:pPr>
        <w:pStyle w:val="ListParagraph"/>
        <w:numPr>
          <w:ilvl w:val="0"/>
          <w:numId w:val="3"/>
        </w:numPr>
        <w:spacing w:after="80" w:line="270"/>
      </w:pPr>
      <w:r>
        <w:rPr>
          <w:b/>
          <w:bCs/>
        </w:rPr>
        <w:t xml:space="preserve">Build authority in parallel. </w:t>
      </w:r>
      <w:r>
        <w:t xml:space="preserve">The reason your DR is 0 is backlinks. Section 6 covers the link-building and digital-PR moves that lift DR so the head terms eventually become winnable.</w:t>
      </w:r>
    </w:p>
    <w:p>
      <w:pPr>
        <w:pStyle w:val="ListParagraph"/>
        <w:numPr>
          <w:ilvl w:val="0"/>
          <w:numId w:val="3"/>
        </w:numPr>
        <w:spacing w:after="80" w:line="270"/>
      </w:pPr>
      <w:r>
        <w:rPr>
          <w:b/>
          <w:bCs/>
        </w:rPr>
        <w:t xml:space="preserve">Use isolved’s DR-71 as a tailwind. </w:t>
      </w:r>
      <w:r>
        <w:t xml:space="preserve">Reference and link to isolved’s own pages, and pursue a partner listing/backlink from isolvedhcm.com. Co-ranking with your supplier is faster than ranking alone.</w:t>
      </w:r>
    </w:p>
    <w:p>
      <w:r>
        <w:br w:type="page"/>
      </w:r>
    </w:p>
    <w:p>
      <w:pPr>
        <w:pStyle w:val="Heading1"/>
      </w:pPr>
      <w:r>
        <w:t xml:space="preserve">3. The HCM Software Silo Gap</w:t>
      </w:r>
    </w:p>
    <w:p>
      <w:pPr>
        <w:spacing w:after="160" w:line="276"/>
      </w:pPr>
      <w:r>
        <w:t xml:space="preserve">This is the core of your question. Here is what exists today versus what the framework implies should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Page type</w:t>
            </w:r>
          </w:p>
        </w:tc>
        <w:tc>
          <w:tcPr>
            <w:tcW w:type="dxa" w:w="14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Live today</w:t>
            </w:r>
          </w:p>
        </w:tc>
        <w:tc>
          <w:tcPr>
            <w:tcW w:type="dxa" w:w="53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Gap</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HCM industry pages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Payroll has 35. At least 18 high-value HCM industry pages are missing.</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Comparison / alternative pages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The single highest-converting type. 22+ missing.</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Company-size pages (HCM)</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“HCM software for 50/100/250 employees” — none exist.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AI / Claude-connector pages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0 dedicated</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The unowned frontier. Zero dedicated pages.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isolved-branded intent pages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few</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reseller / pricing / reviews / demo / implementation” underbuilt.</w:t>
            </w:r>
          </w:p>
        </w:tc>
      </w:tr>
    </w:tbl>
    <w:p>
      <w:pPr>
        <w:spacing w:after="120"/>
      </w:pPr>
      <w:r>
        <w:t xml:space="preserve"/>
      </w:r>
    </w:p>
    <w:p>
      <w:pPr>
        <w:pStyle w:val="Heading2"/>
      </w:pPr>
      <w:r>
        <w:t xml:space="preserve">3.1 Missing Industry Pages (HCM Software)</w:t>
      </w:r>
    </w:p>
    <w:p>
      <w:pPr>
        <w:spacing w:after="160" w:line="276"/>
      </w:pPr>
      <w:r>
        <w:t xml:space="preserve">You already proved the industry model works on the payroll side with 35 verticals. The HCM silo only has engineering, executive, finance, healthcare, legal, technology and trades. Mirror the proven payroll verticals into HCM, prioritized by HCM-software search demand and deal size. isolved itself runs industry pages (e.g. manufacturing), confirming the demand.</w:t>
      </w:r>
    </w:p>
    <w:p>
      <w:pPr>
        <w:pStyle w:val="Heading3"/>
      </w:pPr>
      <w:r>
        <w:t xml:space="preserve">Tier 1 — build first (high HCM demand, strong fit)</w:t>
      </w:r>
    </w:p>
    <w:p>
      <w:pPr>
        <w:pStyle w:val="ListParagraph"/>
        <w:numPr>
          <w:ilvl w:val="0"/>
          <w:numId w:val="3"/>
        </w:numPr>
        <w:spacing w:after="80" w:line="270"/>
      </w:pPr>
      <w:r>
        <w:t xml:space="preserve">Manufacturing — isolved runs a dedicated manufacturing page; high HCM search volume; shift/labor-cost angle.</w:t>
      </w:r>
    </w:p>
    <w:p>
      <w:pPr>
        <w:pStyle w:val="ListParagraph"/>
        <w:numPr>
          <w:ilvl w:val="0"/>
          <w:numId w:val="3"/>
        </w:numPr>
        <w:spacing w:after="80" w:line="270"/>
      </w:pPr>
      <w:r>
        <w:t xml:space="preserve">Construction — certified payroll + multi-job costing makes generic software painful; strong “done-for-you” fit.</w:t>
      </w:r>
    </w:p>
    <w:p>
      <w:pPr>
        <w:pStyle w:val="ListParagraph"/>
        <w:numPr>
          <w:ilvl w:val="0"/>
          <w:numId w:val="3"/>
        </w:numPr>
        <w:spacing w:after="80" w:line="270"/>
      </w:pPr>
      <w:r>
        <w:t xml:space="preserve">Restaurants / Hospitality — high turnover, tips, scheduling; huge buyer pool.</w:t>
      </w:r>
    </w:p>
    <w:p>
      <w:pPr>
        <w:pStyle w:val="ListParagraph"/>
        <w:numPr>
          <w:ilvl w:val="0"/>
          <w:numId w:val="3"/>
        </w:numPr>
        <w:spacing w:after="80" w:line="270"/>
      </w:pPr>
      <w:r>
        <w:t xml:space="preserve">Retail / Multi-location — hourly workforce, scheduling, multi-EIN.</w:t>
      </w:r>
    </w:p>
    <w:p>
      <w:pPr>
        <w:pStyle w:val="ListParagraph"/>
        <w:numPr>
          <w:ilvl w:val="0"/>
          <w:numId w:val="3"/>
        </w:numPr>
        <w:spacing w:after="80" w:line="270"/>
      </w:pPr>
      <w:r>
        <w:t xml:space="preserve">Nonprofit — grant-funded payroll, allocation reporting; isolved and Sage both target it.</w:t>
      </w:r>
    </w:p>
    <w:p>
      <w:pPr>
        <w:pStyle w:val="ListParagraph"/>
        <w:numPr>
          <w:ilvl w:val="0"/>
          <w:numId w:val="3"/>
        </w:numPr>
        <w:spacing w:after="80" w:line="270"/>
      </w:pPr>
      <w:r>
        <w:t xml:space="preserve">Professional services / Accounting &amp; CPA — you already have the payroll page; CPAs are also a referral channel.</w:t>
      </w:r>
    </w:p>
    <w:p>
      <w:pPr>
        <w:pStyle w:val="ListParagraph"/>
        <w:numPr>
          <w:ilvl w:val="0"/>
          <w:numId w:val="3"/>
        </w:numPr>
        <w:spacing w:after="80" w:line="270"/>
      </w:pPr>
      <w:r>
        <w:t xml:space="preserve">Staffing / Recruiting agencies — high-volume, high-complexity payroll; natural HCM upsell.</w:t>
      </w:r>
    </w:p>
    <w:p>
      <w:pPr>
        <w:pStyle w:val="ListParagraph"/>
        <w:numPr>
          <w:ilvl w:val="0"/>
          <w:numId w:val="3"/>
        </w:numPr>
        <w:spacing w:after="80" w:line="270"/>
      </w:pPr>
      <w:r>
        <w:t xml:space="preserve">Transportation / Trucking / Logistics — per-diem, multi-state, driver pay complexity.</w:t>
      </w:r>
    </w:p>
    <w:p>
      <w:pPr>
        <w:pStyle w:val="Heading3"/>
      </w:pPr>
      <w:r>
        <w:t xml:space="preserve">Tier 2 — build next (proven payroll demand, mirror to HCM)</w:t>
      </w:r>
    </w:p>
    <w:p>
      <w:pPr>
        <w:pStyle w:val="ListParagraph"/>
        <w:numPr>
          <w:ilvl w:val="0"/>
          <w:numId w:val="3"/>
        </w:numPr>
        <w:spacing w:after="80" w:line="270"/>
      </w:pPr>
      <w:r>
        <w:t xml:space="preserve">Auto dealership, Senior care, Home health, Childcare, Property management, Franchise, Fitness, Salon &amp; spa, Cannabis, Government contractor, Education.</w:t>
      </w:r>
    </w:p>
    <w:p>
      <w:pPr>
        <w:pStyle w:val="Heading3"/>
      </w:pPr>
      <w:r>
        <w:t xml:space="preserve">Tier 3 — long-tail completeness</w:t>
      </w:r>
    </w:p>
    <w:p>
      <w:pPr>
        <w:pStyle w:val="ListParagraph"/>
        <w:numPr>
          <w:ilvl w:val="0"/>
          <w:numId w:val="3"/>
        </w:numPr>
        <w:spacing w:after="80" w:line="270"/>
      </w:pPr>
      <w:r>
        <w:t xml:space="preserve">Agriculture, Security, Events, Brewery, Insurance agency, Marketing agency, Veterinary, Architecture, Real estate.</w:t>
      </w:r>
    </w:p>
    <w:p>
      <w:pPr>
        <w:spacing w:after="160" w:line="276"/>
      </w:pPr>
      <w:r>
        <w:rPr>
          <w:b/>
          <w:bCs/>
        </w:rPr>
        <w:t xml:space="preserve">Net: </w:t>
      </w:r>
      <w:r>
        <w:t xml:space="preserve">roughly 18–28 new HCM industry pages, each following PAGE_TEMPLATE.md and the NEPQ offer framework, each internally linked to the matching payroll page and 2–3 blog posts.</w:t>
      </w:r>
    </w:p>
    <w:p>
      <w:pPr>
        <w:pStyle w:val="Heading2"/>
      </w:pPr>
      <w:r>
        <w:t xml:space="preserve">3.2 Missing Comparison &amp; Alternative Pages — your highest-leverage gap</w:t>
      </w:r>
    </w:p>
    <w:p>
      <w:pPr>
        <w:spacing w:after="160" w:line="276"/>
      </w:pPr>
      <w:r>
        <w:rPr>
          <w:i/>
          <w:iCs/>
        </w:rPr>
        <w:t xml:space="preserve">Your own National SEO Strategy doc says it plainly: “Comparison pages are the highest-converting asset.” </w:t>
      </w:r>
      <w:r>
        <w:t xml:space="preserve">They capture people who are done researching and ready to choose. They are also lower competition than head terms because each one targets one specific matchup. You have 3. Here is the full matrix to build.</w:t>
      </w:r>
    </w:p>
    <w:p>
      <w:pPr>
        <w:pStyle w:val="Heading3"/>
      </w:pPr>
      <w:r>
        <w:t xml:space="preserve">“isolved vs [X]” pages (you have 2: Paycom, Paylocity)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Build</w:t>
            </w:r>
          </w:p>
        </w:tc>
        <w:tc>
          <w:tcPr>
            <w:tcW w:type="dxa" w:w="312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Build</w:t>
            </w:r>
          </w:p>
        </w:tc>
        <w:tc>
          <w:tcPr>
            <w:tcW w:type="dxa" w:w="312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Build</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Gusto</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Rippling</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Paychex</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BambooHR</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UKG</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Dayforce</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Workday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TriNet</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Justworks</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Paycor</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Deel</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vs QuickBooks Payroll</w:t>
            </w:r>
          </w:p>
        </w:tc>
      </w:tr>
    </w:tbl>
    <w:p>
      <w:pPr>
        <w:spacing w:after="120"/>
      </w:pPr>
      <w:r>
        <w:t xml:space="preserve"/>
      </w:r>
    </w:p>
    <w:p>
      <w:pPr>
        <w:pStyle w:val="Heading3"/>
      </w:pPr>
      <w:r>
        <w:t xml:space="preserve">“Alternatives to [X]” pages (you have 1: ADP)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Build</w:t>
            </w:r>
          </w:p>
        </w:tc>
        <w:tc>
          <w:tcPr>
            <w:tcW w:type="dxa" w:w="312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Build</w:t>
            </w:r>
          </w:p>
        </w:tc>
        <w:tc>
          <w:tcPr>
            <w:tcW w:type="dxa" w:w="312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Build</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Paychex</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Gusto</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Rippling</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Paylocity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Paycom</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BambooHR</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Workday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UKG</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Alternatives to TriNet</w:t>
            </w:r>
          </w:p>
        </w:tc>
      </w:tr>
    </w:tbl>
    <w:p>
      <w:pPr>
        <w:spacing w:after="120"/>
      </w:pPr>
      <w:r>
        <w:t xml:space="preserve"/>
      </w:r>
    </w:p>
    <w:p>
      <w:pPr>
        <w:pStyle w:val="Heading3"/>
      </w:pPr>
      <w:r>
        <w:t xml:space="preserve">“Switch from [X] to isolved” pages — pure bottom-of-funnel</w:t>
      </w:r>
    </w:p>
    <w:p>
      <w:pPr>
        <w:spacing w:after="160" w:line="276"/>
      </w:pPr>
      <w:r>
        <w:t xml:space="preserve">These capture the person who has already decided to leave a competitor. Extremely high intent, almost no competition. Build for: ADP, Paychex, Gusto, Paylocity, Paycom, Rippling, QuickBooks Payroll.</w:t>
      </w:r>
    </w:p>
    <w:p>
      <w:pPr>
        <w:spacing w:after="160" w:line="276"/>
      </w:pPr>
      <w:r>
        <w:rPr>
          <w:b/>
          <w:bCs/>
        </w:rPr>
        <w:t xml:space="preserve">Important guardrail: </w:t>
      </w:r>
      <w:r>
        <w:t xml:space="preserve">comparison pages must be accurate and fair, not disparaging. Lead with isolved’s real strengths (single platform, BEG-managed implementation, the Claude connector, local support) and let the matchup speak for itself. This protects the brand and avoids ranking penalties for thin or misleading content.</w:t>
      </w:r>
    </w:p>
    <w:p>
      <w:pPr>
        <w:pStyle w:val="Heading2"/>
      </w:pPr>
      <w:r>
        <w:t xml:space="preserve">3.3 Missing High-Commercial-Intent Keyword Clusters</w:t>
      </w:r>
    </w:p>
    <w:p>
      <w:pPr>
        <w:spacing w:after="160" w:line="276"/>
      </w:pPr>
      <w:r>
        <w:t xml:space="preserve">Beyond pages, these are the query families your HCM silo does not yet target. Each becomes a small page cluster (a hub page plus supporting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Cluster</w:t>
            </w:r>
          </w:p>
        </w:tc>
        <w:tc>
          <w:tcPr>
            <w:tcW w:type="dxa" w:w="63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Representative buyer-ready queries</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isolved-branded intent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 reseller, isolved partner, isolved pricing, isolved cost per employee, isolved reviews, isolved demo, isolved implementation, isolved login help, is isolved good</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Company size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HCM software for 50 / 100 / 250 / 500 employees, best HR software for small business, HR software for mid-market</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“Best software for [industry]”</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best HCM software for manufacturing / restaurants / nonprofits / construction; best payroll software for [industry]</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Use-case / feature</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HCM software with time tracking, all-in-one HR and payroll platform, benefits administration software, onboarding software, multi-state payroll software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Pricing &amp; cost</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HCM software cost, how much does HR software cost, isolved vs ADP pricing, HR software pricing by employee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AI / Claude (the frontier)</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AI HR software, AI payroll software, isolved Connector for Claude, HR software with AI, can AI do payroll, AI HCM platform</w:t>
            </w:r>
          </w:p>
        </w:tc>
      </w:tr>
    </w:tbl>
    <w:p>
      <w:pPr>
        <w:spacing w:after="120"/>
      </w:pPr>
      <w:r>
        <w:t xml:space="preserve"/>
      </w:r>
    </w:p>
    <w:p>
      <w:pPr>
        <w:pStyle w:val="Heading2"/>
      </w:pPr>
      <w:r>
        <w:t xml:space="preserve">3.4 The Unowned Angle: AI and the Connector for Claude</w:t>
      </w:r>
    </w:p>
    <w:p>
      <w:pPr>
        <w:spacing w:after="160" w:line="276"/>
      </w:pPr>
      <w:r>
        <w:rPr>
          <w:b/>
          <w:bCs/>
        </w:rPr>
        <w:t xml:space="preserve">This deserves its own section because it is the only category where your DR-0 disadvantage does not matter — because almost no one has published on it yet. </w:t>
      </w:r>
      <w:r>
        <w:t xml:space="preserve">isolved’s Connector for Claude went generally available in June 2026. “AI in HR” is one of the fastest-growing search themes of the year, and the DR-90 incumbents have not built dedicated, optimized pages for “AI HR software” or “AI payroll” tied to a real, shippable product.</w:t>
      </w:r>
    </w:p>
    <w:p>
      <w:pPr>
        <w:pStyle w:val="Heading3"/>
      </w:pPr>
      <w:r>
        <w:t xml:space="preserve">Build a dedicated AI cluster</w:t>
      </w:r>
    </w:p>
    <w:p>
      <w:pPr>
        <w:pStyle w:val="ListParagraph"/>
        <w:numPr>
          <w:ilvl w:val="0"/>
          <w:numId w:val="3"/>
        </w:numPr>
        <w:spacing w:after="80" w:line="270"/>
      </w:pPr>
      <w:r>
        <w:t xml:space="preserve">Pillar page: “The Only HCM Platform With an AI Connector (Claude) — What It Does and Why It Matters.”</w:t>
      </w:r>
    </w:p>
    <w:p>
      <w:pPr>
        <w:pStyle w:val="ListParagraph"/>
        <w:numPr>
          <w:ilvl w:val="0"/>
          <w:numId w:val="3"/>
        </w:numPr>
        <w:spacing w:after="80" w:line="270"/>
      </w:pPr>
      <w:r>
        <w:t xml:space="preserve">Supporting posts: “Chatbots answer questions. isolved completes the task.” (your locked messaging hook); “AI payroll: what it can and cannot do in 2026”; “How HR teams use AI to cut admin time.”</w:t>
      </w:r>
    </w:p>
    <w:p>
      <w:pPr>
        <w:pStyle w:val="ListParagraph"/>
        <w:numPr>
          <w:ilvl w:val="0"/>
          <w:numId w:val="3"/>
        </w:numPr>
        <w:spacing w:after="80" w:line="270"/>
      </w:pPr>
      <w:r>
        <w:t xml:space="preserve">A short demo video (you already have one built and pending) embedded on the HCM page — video on-page improves dwell time and rankings.</w:t>
      </w:r>
    </w:p>
    <w:p>
      <w:pPr>
        <w:pStyle w:val="ListParagraph"/>
        <w:numPr>
          <w:ilvl w:val="0"/>
          <w:numId w:val="3"/>
        </w:numPr>
        <w:spacing w:after="80" w:line="270"/>
      </w:pPr>
      <w:r>
        <w:t xml:space="preserve">Interactive “AI HR Readiness Scorecard” lead magnet (specced in Section 5).</w:t>
      </w:r>
    </w:p>
    <w:p>
      <w:pPr>
        <w:spacing w:after="160" w:line="276"/>
      </w:pPr>
      <w:r>
        <w:rPr>
          <w:b/>
          <w:bCs/>
        </w:rPr>
        <w:t xml:space="preserve">Why this wins: </w:t>
      </w:r>
      <w:r>
        <w:t xml:space="preserve">first-mover keyword capture in a low-competition, high-growth category, anchored to a product claim no competitor can match. Of everything in this document, this is the highest expected return per hour of work.</w:t>
      </w:r>
    </w:p>
    <w:p>
      <w:r>
        <w:br w:type="page"/>
      </w:r>
    </w:p>
    <w:p>
      <w:pPr>
        <w:pStyle w:val="Heading1"/>
      </w:pPr>
      <w:r>
        <w:t xml:space="preserve">4. Top-5 Competitor Comparison &amp; Where BEG Can Win</w:t>
      </w:r>
    </w:p>
    <w:p>
      <w:pPr>
        <w:spacing w:after="160" w:line="276"/>
      </w:pPr>
      <w:r>
        <w:t xml:space="preserve">These five are the realistic competitive set for HCM software and managed payroll buyers. For each: their organic strength, their weakness, and the specific opening for BEG.</w:t>
      </w:r>
    </w:p>
    <w:p>
      <w:pPr>
        <w:pStyle w:val="Heading3"/>
      </w:pPr>
      <w:r>
        <w:t xml:space="preserve">ADP  (DR 91)</w:t>
      </w:r>
    </w:p>
    <w:p>
      <w:pPr>
        <w:spacing w:after="160" w:line="276"/>
      </w:pPr>
      <w:r>
        <w:rPr>
          <w:b/>
          <w:bCs/>
        </w:rPr>
        <w:t xml:space="preserve">Strength: </w:t>
      </w:r>
      <w:r>
        <w:t xml:space="preserve">Enormous authority and brand; ranks for nearly every generic payroll and HR term; deep compliance content.</w:t>
      </w:r>
    </w:p>
    <w:p>
      <w:pPr>
        <w:spacing w:after="160" w:line="276"/>
      </w:pPr>
      <w:r>
        <w:rPr>
          <w:b/>
          <w:bCs/>
        </w:rPr>
        <w:t xml:space="preserve">Weakness: </w:t>
      </w:r>
      <w:r>
        <w:t xml:space="preserve">Generic, impersonal, enterprise-skewed; widely perceived as expensive with poor small-business support; weak on specific industry+size combinations.</w:t>
      </w:r>
    </w:p>
    <w:p>
      <w:pPr>
        <w:spacing w:after="220" w:line="276"/>
      </w:pPr>
      <w:r>
        <w:rPr>
          <w:b/>
          <w:bCs/>
          <w:color w:val="8A6B2E"/>
        </w:rPr>
        <w:t xml:space="preserve">Your opening: </w:t>
      </w:r>
      <w:r>
        <w:t xml:space="preserve">“Alternatives to ADP” (you have this — expand it), “switch from ADP to isolved,” and industry+size long-tail ADP does not bother to target. Lead with done-for-you managed service vs ADP’s self-serve software.</w:t>
      </w:r>
    </w:p>
    <w:p>
      <w:pPr>
        <w:pStyle w:val="Heading3"/>
      </w:pPr>
      <w:r>
        <w:t xml:space="preserve">Paychex  (DR 81)</w:t>
      </w:r>
    </w:p>
    <w:p>
      <w:pPr>
        <w:spacing w:after="160" w:line="276"/>
      </w:pPr>
      <w:r>
        <w:rPr>
          <w:b/>
          <w:bCs/>
        </w:rPr>
        <w:t xml:space="preserve">Strength: </w:t>
      </w:r>
      <w:r>
        <w:t xml:space="preserve">Legacy authority; strong small-business payroll content; large resource library.</w:t>
      </w:r>
    </w:p>
    <w:p>
      <w:pPr>
        <w:spacing w:after="160" w:line="276"/>
      </w:pPr>
      <w:r>
        <w:rPr>
          <w:b/>
          <w:bCs/>
        </w:rPr>
        <w:t xml:space="preserve">Weakness: </w:t>
      </w:r>
      <w:r>
        <w:t xml:space="preserve">Dated UX reputation; up-sell-heavy; content is broad but often stale.</w:t>
      </w:r>
    </w:p>
    <w:p>
      <w:pPr>
        <w:spacing w:after="220" w:line="276"/>
      </w:pPr>
      <w:r>
        <w:rPr>
          <w:b/>
          <w:bCs/>
          <w:color w:val="8A6B2E"/>
        </w:rPr>
        <w:t xml:space="preserve">Your opening: </w:t>
      </w:r>
      <w:r>
        <w:t xml:space="preserve">Freshness and specificity. “isolveD vs Paychex,” “alternatives to Paychex,” and 2026-dated industry guides. Beat them on recency and on the single-platform + AI story.</w:t>
      </w:r>
    </w:p>
    <w:p>
      <w:pPr>
        <w:pStyle w:val="Heading3"/>
      </w:pPr>
      <w:r>
        <w:t xml:space="preserve">Gusto  (DR 86)</w:t>
      </w:r>
    </w:p>
    <w:p>
      <w:pPr>
        <w:spacing w:after="160" w:line="276"/>
      </w:pPr>
      <w:r>
        <w:rPr>
          <w:b/>
          <w:bCs/>
        </w:rPr>
        <w:t xml:space="preserve">Strength: </w:t>
      </w:r>
      <w:r>
        <w:t xml:space="preserve">Dominates small-business payroll search; huge, well-optimized resource and guides library; very strong “vs” and “alternatives” pages.</w:t>
      </w:r>
    </w:p>
    <w:p>
      <w:pPr>
        <w:spacing w:after="160" w:line="276"/>
      </w:pPr>
      <w:r>
        <w:rPr>
          <w:b/>
          <w:bCs/>
        </w:rPr>
        <w:t xml:space="preserve">Weakness: </w:t>
      </w:r>
      <w:r>
        <w:t xml:space="preserve">Built for very small/simple businesses; thin on complex multi-state, industry-specific, and mid-market needs; software-only (no managed service).</w:t>
      </w:r>
    </w:p>
    <w:p>
      <w:pPr>
        <w:spacing w:after="220" w:line="276"/>
      </w:pPr>
      <w:r>
        <w:rPr>
          <w:b/>
          <w:bCs/>
          <w:color w:val="8A6B2E"/>
        </w:rPr>
        <w:t xml:space="preserve">Your opening: </w:t>
      </w:r>
      <w:r>
        <w:t xml:space="preserve">Mid-market and complexity. Target 50–500 employee, multi-state, industry-specific queries Gusto under-serves. “isolved vs Gusto,” “Gusto alternative for [industry],” “managed payroll vs Gusto.”</w:t>
      </w:r>
    </w:p>
    <w:p>
      <w:pPr>
        <w:pStyle w:val="Heading3"/>
      </w:pPr>
      <w:r>
        <w:t xml:space="preserve">Rippling  (DR 84)</w:t>
      </w:r>
    </w:p>
    <w:p>
      <w:pPr>
        <w:spacing w:after="160" w:line="276"/>
      </w:pPr>
      <w:r>
        <w:rPr>
          <w:b/>
          <w:bCs/>
        </w:rPr>
        <w:t xml:space="preserve">Strength: </w:t>
      </w:r>
      <w:r>
        <w:t xml:space="preserve">Fast-rising authority; aggressive on comparison/alternative pages; modern brand.</w:t>
      </w:r>
    </w:p>
    <w:p>
      <w:pPr>
        <w:spacing w:after="160" w:line="276"/>
      </w:pPr>
      <w:r>
        <w:rPr>
          <w:b/>
          <w:bCs/>
        </w:rPr>
        <w:t xml:space="preserve">Weakness: </w:t>
      </w:r>
      <w:r>
        <w:t xml:space="preserve">Software-only and IT-centric; complex; no managed-delivery option; pricing opacity.</w:t>
      </w:r>
    </w:p>
    <w:p>
      <w:pPr>
        <w:spacing w:after="220" w:line="276"/>
      </w:pPr>
      <w:r>
        <w:rPr>
          <w:b/>
          <w:bCs/>
          <w:color w:val="8A6B2E"/>
        </w:rPr>
        <w:t xml:space="preserve">Your opening: </w:t>
      </w:r>
      <w:r>
        <w:t xml:space="preserve">Done-for-you positioning and the Claude connector. “isolved vs Rippling,” “Rippling alternative,” “managed payroll vs Rippling.” You sell a service; they sell a tool.</w:t>
      </w:r>
    </w:p>
    <w:p>
      <w:pPr>
        <w:pStyle w:val="Heading3"/>
      </w:pPr>
      <w:r>
        <w:t xml:space="preserve">Paylocity  (DR 90)</w:t>
      </w:r>
    </w:p>
    <w:p>
      <w:pPr>
        <w:spacing w:after="160" w:line="276"/>
      </w:pPr>
      <w:r>
        <w:rPr>
          <w:b/>
          <w:bCs/>
        </w:rPr>
        <w:t xml:space="preserve">Strength: </w:t>
      </w:r>
      <w:r>
        <w:t xml:space="preserve">High authority; strong mid-market HCM positioning and engagement features.</w:t>
      </w:r>
    </w:p>
    <w:p>
      <w:pPr>
        <w:spacing w:after="160" w:line="276"/>
      </w:pPr>
      <w:r>
        <w:rPr>
          <w:b/>
          <w:bCs/>
        </w:rPr>
        <w:t xml:space="preserve">Weakness: </w:t>
      </w:r>
      <w:r>
        <w:t xml:space="preserve">Implementation and support complaints are common; mid-market only; no AI-task connector.</w:t>
      </w:r>
    </w:p>
    <w:p>
      <w:pPr>
        <w:spacing w:after="220" w:line="276"/>
      </w:pPr>
      <w:r>
        <w:rPr>
          <w:b/>
          <w:bCs/>
          <w:color w:val="8A6B2E"/>
        </w:rPr>
        <w:t xml:space="preserve">Your opening: </w:t>
      </w:r>
      <w:r>
        <w:t xml:space="preserve">Support and implementation pain is your wedge — BEG implements and supports year-round. “isolved vs Paylocity” (you have this), “Paylocity alternative,” “switch from Paylocity.”</w:t>
      </w:r>
    </w:p>
    <w:p>
      <w:pPr>
        <w:spacing w:after="120"/>
      </w:pPr>
      <w:r>
        <w:t xml:space="preserve"/>
      </w:r>
    </w:p>
    <w:p>
      <w:pPr>
        <w:pStyle w:val="Heading3"/>
      </w:pPr>
      <w:r>
        <w:t xml:space="preserve">The four positioning wedges that run through all five</w:t>
      </w:r>
    </w:p>
    <w:p>
      <w:pPr>
        <w:pStyle w:val="ListParagraph"/>
        <w:numPr>
          <w:ilvl w:val="0"/>
          <w:numId w:val="2"/>
        </w:numPr>
        <w:spacing w:after="80" w:line="270"/>
      </w:pPr>
      <w:r>
        <w:rPr>
          <w:b/>
          <w:bCs/>
        </w:rPr>
        <w:t xml:space="preserve">Done-for-you, not DIY. </w:t>
      </w:r>
      <w:r>
        <w:t xml:space="preserve">Every competitor sells software the buyer must run. BEG manages it. This is your most repeatable differentiator.</w:t>
      </w:r>
    </w:p>
    <w:p>
      <w:pPr>
        <w:pStyle w:val="ListParagraph"/>
        <w:numPr>
          <w:ilvl w:val="0"/>
          <w:numId w:val="2"/>
        </w:numPr>
        <w:spacing w:after="80" w:line="270"/>
      </w:pPr>
      <w:r>
        <w:rPr>
          <w:b/>
          <w:bCs/>
        </w:rPr>
        <w:t xml:space="preserve">The Claude connector. </w:t>
      </w:r>
      <w:r>
        <w:t xml:space="preserve">None of them have it. Mention it on every comparison page.</w:t>
      </w:r>
    </w:p>
    <w:p>
      <w:pPr>
        <w:pStyle w:val="ListParagraph"/>
        <w:numPr>
          <w:ilvl w:val="0"/>
          <w:numId w:val="2"/>
        </w:numPr>
        <w:spacing w:after="80" w:line="270"/>
      </w:pPr>
      <w:r>
        <w:rPr>
          <w:b/>
          <w:bCs/>
        </w:rPr>
        <w:t xml:space="preserve">Local, named, year-round support. </w:t>
      </w:r>
      <w:r>
        <w:t xml:space="preserve">Counter the “ticket-and-wait” reputation of the big platforms.</w:t>
      </w:r>
    </w:p>
    <w:p>
      <w:pPr>
        <w:pStyle w:val="ListParagraph"/>
        <w:numPr>
          <w:ilvl w:val="0"/>
          <w:numId w:val="2"/>
        </w:numPr>
        <w:spacing w:after="80" w:line="270"/>
      </w:pPr>
      <w:r>
        <w:rPr>
          <w:b/>
          <w:bCs/>
        </w:rPr>
        <w:t xml:space="preserve">Specificity they will not match. </w:t>
      </w:r>
      <w:r>
        <w:t xml:space="preserve">Industry × size × state combinations are beneath the giants’ content radar and perfect for a challenger.</w:t>
      </w:r>
    </w:p>
    <w:p>
      <w:r>
        <w:br w:type="page"/>
      </w:r>
    </w:p>
    <w:p>
      <w:pPr>
        <w:pStyle w:val="Heading1"/>
      </w:pPr>
      <w:r>
        <w:t xml:space="preserve">5. Beyond Blog Posts: Resources &amp; Lead Magnets</w:t>
      </w:r>
    </w:p>
    <w:p>
      <w:pPr>
        <w:pStyle w:val="Heading2"/>
      </w:pPr>
      <w:r>
        <w:t xml:space="preserve">5.1 What you already have (do not rebuild)</w:t>
      </w:r>
    </w:p>
    <w:p>
      <w:pPr>
        <w:pStyle w:val="ListParagraph"/>
        <w:numPr>
          <w:ilvl w:val="0"/>
          <w:numId w:val="3"/>
        </w:numPr>
        <w:spacing w:after="80" w:line="270"/>
      </w:pPr>
      <w:r>
        <w:t xml:space="preserve">Interactive Managed Payroll Cost Calculator (in-house vs software vs PEO vs BEG).</w:t>
      </w:r>
    </w:p>
    <w:p>
      <w:pPr>
        <w:pStyle w:val="ListParagraph"/>
        <w:numPr>
          <w:ilvl w:val="0"/>
          <w:numId w:val="3"/>
        </w:numPr>
        <w:spacing w:after="80" w:line="270"/>
      </w:pPr>
      <w:r>
        <w:t xml:space="preserve">Payroll Complexity Scorer quiz.</w:t>
      </w:r>
    </w:p>
    <w:p>
      <w:pPr>
        <w:pStyle w:val="ListParagraph"/>
        <w:numPr>
          <w:ilvl w:val="0"/>
          <w:numId w:val="3"/>
        </w:numPr>
        <w:spacing w:after="80" w:line="270"/>
      </w:pPr>
      <w:r>
        <w:t xml:space="preserve">Managed Payroll Buyer’s Guide and Year-End Payroll Checklist.</w:t>
      </w:r>
    </w:p>
    <w:p>
      <w:pPr>
        <w:spacing w:after="160" w:line="276"/>
      </w:pPr>
      <w:r>
        <w:rPr>
          <w:b/>
          <w:bCs/>
        </w:rPr>
        <w:t xml:space="preserve">Two structural weaknesses across all of them: </w:t>
      </w:r>
      <w:r>
        <w:t xml:space="preserve">(1) every asset is payroll-only — nothing speaks to the HCM-software buyer; (2) every asset routes straight to Calendly with no email capture, so you build zero list. A prospect not ready to book a call leaves no trace. Fixing both is the opportunity.</w:t>
      </w:r>
    </w:p>
    <w:p>
      <w:pPr>
        <w:pStyle w:val="Heading2"/>
      </w:pPr>
      <w:r>
        <w:t xml:space="preserve">5.2 New lead magnets, ranked by certainty of driving leads</w:t>
      </w:r>
    </w:p>
    <w:p>
      <w:pPr>
        <w:spacing w:after="160" w:line="276"/>
      </w:pPr>
      <w:r>
        <w:t xml:space="preserve">Each of these is validated against what competitors actually run. Interactive calculators in particular are proven lead engines — Paycor runs a Cost Savings Calculator and PrimePay runs an HCM ROI Calculator for exactly this reason.</w:t>
      </w:r>
    </w:p>
    <w:p>
      <w:pPr>
        <w:pStyle w:val="Heading3"/>
      </w:pPr>
      <w:r>
        <w:t xml:space="preserve">1. isolved / HCM ROI &amp; Cost-Savings Calculator  (HIGHEST CERTAINTY — built for you, Section 5.3)</w:t>
      </w:r>
    </w:p>
    <w:p>
      <w:pPr>
        <w:spacing w:after="160" w:line="276"/>
      </w:pPr>
      <w:r>
        <w:rPr>
          <w:b/>
          <w:bCs/>
        </w:rPr>
        <w:t xml:space="preserve">Targets: </w:t>
      </w:r>
      <w:r>
        <w:t xml:space="preserve">“HCM ROI calculator,” “HR software cost savings,” “payroll software ROI,” plus links from every comparison and HCM industry page.</w:t>
      </w:r>
    </w:p>
    <w:p>
      <w:pPr>
        <w:spacing w:after="160" w:line="276"/>
      </w:pPr>
      <w:r>
        <w:rPr>
          <w:b/>
          <w:bCs/>
        </w:rPr>
        <w:t xml:space="preserve">Why it works: </w:t>
      </w:r>
      <w:r>
        <w:t xml:space="preserve">Mirrors the exact format Paycor and PrimePay use. Ranks for “[x] calculator” terms and converts because it quantifies the 330% ROI story with the visitor’s own numbers.</w:t>
      </w:r>
    </w:p>
    <w:p>
      <w:pPr>
        <w:spacing w:after="200" w:line="276"/>
      </w:pPr>
      <w:r>
        <w:rPr>
          <w:b/>
          <w:bCs/>
        </w:rPr>
        <w:t xml:space="preserve">Build: </w:t>
      </w:r>
      <w:r>
        <w:t xml:space="preserve">Interactive React tool. Inputs: headcount, # of systems today, HR admin hours/week, current per-employee spend. Output: consolidated cost, hours reclaimed, estimated annual savings, CTA to Calendly. Optional email-gate for a PDF version.</w:t>
      </w:r>
    </w:p>
    <w:p>
      <w:pPr>
        <w:pStyle w:val="Heading3"/>
      </w:pPr>
      <w:r>
        <w:t xml:space="preserve">2. “Which HCM Platform Fits You?” Comparison / Recommendation Tool</w:t>
      </w:r>
    </w:p>
    <w:p>
      <w:pPr>
        <w:spacing w:after="160" w:line="276"/>
      </w:pPr>
      <w:r>
        <w:rPr>
          <w:b/>
          <w:bCs/>
        </w:rPr>
        <w:t xml:space="preserve">Targets: </w:t>
      </w:r>
      <w:r>
        <w:t xml:space="preserve">“best HCM software for my business,” “isolved vs [x],” “HR software comparison.”</w:t>
      </w:r>
    </w:p>
    <w:p>
      <w:pPr>
        <w:spacing w:after="160" w:line="276"/>
      </w:pPr>
      <w:r>
        <w:rPr>
          <w:b/>
          <w:bCs/>
        </w:rPr>
        <w:t xml:space="preserve">Why it works: </w:t>
      </w:r>
      <w:r>
        <w:t xml:space="preserve">Captures undecided buyers and naturally feeds your comparison pages. Interactive selectors rank and convert.</w:t>
      </w:r>
    </w:p>
    <w:p>
      <w:pPr>
        <w:spacing w:after="200" w:line="276"/>
      </w:pPr>
      <w:r>
        <w:rPr>
          <w:b/>
          <w:bCs/>
        </w:rPr>
        <w:t xml:space="preserve">Build: </w:t>
      </w:r>
      <w:r>
        <w:t xml:space="preserve">Short quiz: size, industry, current system, priorities → recommends isolved configuration and links the matching comparison page. High internal-link value.</w:t>
      </w:r>
    </w:p>
    <w:p>
      <w:pPr>
        <w:pStyle w:val="Heading3"/>
      </w:pPr>
      <w:r>
        <w:t xml:space="preserve">3. AI HR Readiness Scorecard (the Claude-connector frontier)</w:t>
      </w:r>
    </w:p>
    <w:p>
      <w:pPr>
        <w:spacing w:after="160" w:line="276"/>
      </w:pPr>
      <w:r>
        <w:rPr>
          <w:b/>
          <w:bCs/>
        </w:rPr>
        <w:t xml:space="preserve">Targets: </w:t>
      </w:r>
      <w:r>
        <w:t xml:space="preserve">“AI in HR,” “AI payroll readiness,” “is my HR ready for AI.”</w:t>
      </w:r>
    </w:p>
    <w:p>
      <w:pPr>
        <w:spacing w:after="160" w:line="276"/>
      </w:pPr>
      <w:r>
        <w:rPr>
          <w:b/>
          <w:bCs/>
        </w:rPr>
        <w:t xml:space="preserve">Why it works: </w:t>
      </w:r>
      <w:r>
        <w:t xml:space="preserve">Owns a brand-new, low-competition category and showcases the one feature no competitor has. Pure first-mover capture.</w:t>
      </w:r>
    </w:p>
    <w:p>
      <w:pPr>
        <w:spacing w:after="200" w:line="276"/>
      </w:pPr>
      <w:r>
        <w:rPr>
          <w:b/>
          <w:bCs/>
        </w:rPr>
        <w:t xml:space="preserve">Build: </w:t>
      </w:r>
      <w:r>
        <w:t xml:space="preserve">8–10 question scorecard → readiness score + tailored recommendation that introduces the Connector for Claude. Email-gate the full report.</w:t>
      </w:r>
    </w:p>
    <w:p>
      <w:pPr>
        <w:pStyle w:val="Heading3"/>
      </w:pPr>
      <w:r>
        <w:t xml:space="preserve">4. Industry Benchmark Reports (gated PDFs)</w:t>
      </w:r>
    </w:p>
    <w:p>
      <w:pPr>
        <w:spacing w:after="160" w:line="276"/>
      </w:pPr>
      <w:r>
        <w:rPr>
          <w:b/>
          <w:bCs/>
        </w:rPr>
        <w:t xml:space="preserve">Targets: </w:t>
      </w:r>
      <w:r>
        <w:t xml:space="preserve">“[industry] payroll benchmarks 2026,” “HR cost benchmarks,” “payroll statistics [industry].”</w:t>
      </w:r>
    </w:p>
    <w:p>
      <w:pPr>
        <w:spacing w:after="160" w:line="276"/>
      </w:pPr>
      <w:r>
        <w:rPr>
          <w:b/>
          <w:bCs/>
        </w:rPr>
        <w:t xml:space="preserve">Why it works: </w:t>
      </w:r>
      <w:r>
        <w:t xml:space="preserve">Earns backlinks (which is how you fix DR 0) and captures emails. Data-driven reports are the most link-attractive asset type.</w:t>
      </w:r>
    </w:p>
    <w:p>
      <w:pPr>
        <w:spacing w:after="200" w:line="276"/>
      </w:pPr>
      <w:r>
        <w:rPr>
          <w:b/>
          <w:bCs/>
        </w:rPr>
        <w:t xml:space="preserve">Build: </w:t>
      </w:r>
      <w:r>
        <w:t xml:space="preserve">Start with 2–3 verticals where you have the most content (restaurants, healthcare, construction). “State of Payroll &amp; HR for [industry] 2026.” Gate the download.</w:t>
      </w:r>
    </w:p>
    <w:p>
      <w:pPr>
        <w:pStyle w:val="Heading3"/>
      </w:pPr>
      <w:r>
        <w:t xml:space="preserve">5. State Compliance Hub + Annual Compliance Calendar</w:t>
      </w:r>
    </w:p>
    <w:p>
      <w:pPr>
        <w:spacing w:after="160" w:line="276"/>
      </w:pPr>
      <w:r>
        <w:rPr>
          <w:b/>
          <w:bCs/>
        </w:rPr>
        <w:t xml:space="preserve">Targets: </w:t>
      </w:r>
      <w:r>
        <w:t xml:space="preserve">“payroll tax deadlines 2026,” “[state] new hire reporting,” “payroll compliance calendar.”</w:t>
      </w:r>
    </w:p>
    <w:p>
      <w:pPr>
        <w:spacing w:after="160" w:line="276"/>
      </w:pPr>
      <w:r>
        <w:rPr>
          <w:b/>
          <w:bCs/>
        </w:rPr>
        <w:t xml:space="preserve">Why it works: </w:t>
      </w:r>
      <w:r>
        <w:t xml:space="preserve">Evergreen, highly shareable, link-worthy, and ties to your existing state and compliance clusters. Refreshed yearly for compounding rankings.</w:t>
      </w:r>
    </w:p>
    <w:p>
      <w:pPr>
        <w:spacing w:after="200" w:line="276"/>
      </w:pPr>
      <w:r>
        <w:rPr>
          <w:b/>
          <w:bCs/>
        </w:rPr>
        <w:t xml:space="preserve">Build: </w:t>
      </w:r>
      <w:r>
        <w:t xml:space="preserve">Interactive filter by state + downloadable calendar. Email-gate the download.</w:t>
      </w:r>
    </w:p>
    <w:p>
      <w:pPr>
        <w:pStyle w:val="Heading3"/>
      </w:pPr>
      <w:r>
        <w:t xml:space="preserve">6. Salary / Compensation Benchmark Tool (bridges to Job Placement)</w:t>
      </w:r>
    </w:p>
    <w:p>
      <w:pPr>
        <w:spacing w:after="160" w:line="276"/>
      </w:pPr>
      <w:r>
        <w:rPr>
          <w:b/>
          <w:bCs/>
        </w:rPr>
        <w:t xml:space="preserve">Targets: </w:t>
      </w:r>
      <w:r>
        <w:t xml:space="preserve">“[role] salary [city],” “salary benchmark,” “what to pay a [role].”</w:t>
      </w:r>
    </w:p>
    <w:p>
      <w:pPr>
        <w:spacing w:after="160" w:line="276"/>
      </w:pPr>
      <w:r>
        <w:rPr>
          <w:b/>
          <w:bCs/>
        </w:rPr>
        <w:t xml:space="preserve">Why it works: </w:t>
      </w:r>
      <w:r>
        <w:t xml:space="preserve">Huge evergreen search volume and a natural bridge to your legal/finance/tech placement vertical — one asset, two revenue lines.</w:t>
      </w:r>
    </w:p>
    <w:p>
      <w:pPr>
        <w:spacing w:after="200" w:line="276"/>
      </w:pPr>
      <w:r>
        <w:rPr>
          <w:b/>
          <w:bCs/>
        </w:rPr>
        <w:t xml:space="preserve">Build: </w:t>
      </w:r>
      <w:r>
        <w:t xml:space="preserve">Searchable comp data by role and metro. Later phase — needs a data source — but high ceiling.</w:t>
      </w:r>
    </w:p>
    <w:p>
      <w:pPr>
        <w:pStyle w:val="Heading2"/>
      </w:pPr>
      <w:r>
        <w:t xml:space="preserve">5.3 What I built for you in this session</w:t>
      </w:r>
    </w:p>
    <w:p>
      <w:pPr>
        <w:spacing w:after="160" w:line="276"/>
      </w:pPr>
      <w:r>
        <w:rPr>
          <w:b/>
          <w:bCs/>
        </w:rPr>
        <w:t xml:space="preserve">The isolved / HCM ROI &amp; Cost-Savings Calculator (#1 above). </w:t>
      </w:r>
      <w:r>
        <w:t xml:space="preserve">I chose it because it is the highest-certainty lead driver: it copies the exact proven format Paycor and PrimePay use, it fills the HCM-resource gap (all your current tools are payroll-only), it ranks for “calculator” queries, and it converts by turning your 330% ROI claim into the visitor’s own numbers. It is built to PAGE_TEMPLATE.md, uses the black + gold brand system, and routes to your Calendly link. Details, route, and how to deploy are in Section 8.</w:t>
      </w:r>
    </w:p>
    <w:p>
      <w:r>
        <w:br w:type="page"/>
      </w:r>
    </w:p>
    <w:p>
      <w:pPr>
        <w:pStyle w:val="Heading1"/>
      </w:pPr>
      <w:r>
        <w:t xml:space="preserve">6. The Complete “Dominate Organic” Checklist</w:t>
      </w:r>
    </w:p>
    <w:p>
      <w:pPr>
        <w:spacing w:after="160" w:line="276"/>
      </w:pPr>
      <w:r>
        <w:t xml:space="preserve">You said you don’t know what you don’t know. This is the full lever list for owning an organic category as a challenger — on-page, off-page, technical, and beyond traditional search. Items already done on beghr.com are marked.</w:t>
      </w:r>
    </w:p>
    <w:p>
      <w:pPr>
        <w:pStyle w:val="Heading2"/>
      </w:pPr>
      <w:r>
        <w:t xml:space="preserve">6.1 Content &amp; on-page (your current strength — extend it)</w:t>
      </w:r>
    </w:p>
    <w:p>
      <w:pPr>
        <w:pStyle w:val="ListParagraph"/>
        <w:numPr>
          <w:ilvl w:val="0"/>
          <w:numId w:val="3"/>
        </w:numPr>
        <w:spacing w:after="80" w:line="270"/>
      </w:pPr>
      <w:r>
        <w:t xml:space="preserve">Programmatic industry × service × size pages (in progress — extend to HCM per Section 3).</w:t>
      </w:r>
    </w:p>
    <w:p>
      <w:pPr>
        <w:pStyle w:val="ListParagraph"/>
        <w:numPr>
          <w:ilvl w:val="0"/>
          <w:numId w:val="3"/>
        </w:numPr>
        <w:spacing w:after="80" w:line="270"/>
      </w:pPr>
      <w:r>
        <w:t xml:space="preserve">Comparison and alternative pages for every competitor (Section 3.2).</w:t>
      </w:r>
    </w:p>
    <w:p>
      <w:pPr>
        <w:pStyle w:val="ListParagraph"/>
        <w:numPr>
          <w:ilvl w:val="0"/>
          <w:numId w:val="3"/>
        </w:numPr>
        <w:spacing w:after="80" w:line="270"/>
      </w:pPr>
      <w:r>
        <w:t xml:space="preserve">FAQ schema on every page to win featured snippets and “People Also Ask” (your framework already requires this).</w:t>
      </w:r>
    </w:p>
    <w:p>
      <w:pPr>
        <w:pStyle w:val="ListParagraph"/>
        <w:numPr>
          <w:ilvl w:val="0"/>
          <w:numId w:val="3"/>
        </w:numPr>
        <w:spacing w:after="80" w:line="270"/>
      </w:pPr>
      <w:r>
        <w:t xml:space="preserve">Match search intent precisely: one primary keyword per page, intent-matched H1, 5–7 real FAQs.</w:t>
      </w:r>
    </w:p>
    <w:p>
      <w:pPr>
        <w:pStyle w:val="ListParagraph"/>
        <w:numPr>
          <w:ilvl w:val="0"/>
          <w:numId w:val="3"/>
        </w:numPr>
        <w:spacing w:after="80" w:line="270"/>
      </w:pPr>
      <w:r>
        <w:t xml:space="preserve">Refresh and re-date cornerstone pages yearly (“2026” in titles) — freshness beats legacy competitors.</w:t>
      </w:r>
    </w:p>
    <w:p>
      <w:pPr>
        <w:pStyle w:val="Heading2"/>
      </w:pPr>
      <w:r>
        <w:t xml:space="preserve">6.2 Off-page &amp; authority (your biggest gap — this is why DR is 0)</w:t>
      </w:r>
    </w:p>
    <w:p>
      <w:pPr>
        <w:pStyle w:val="ListParagraph"/>
        <w:numPr>
          <w:ilvl w:val="0"/>
          <w:numId w:val="3"/>
        </w:numPr>
        <w:spacing w:after="80" w:line="270"/>
      </w:pPr>
      <w:r>
        <w:rPr>
          <w:b/>
          <w:bCs/>
        </w:rPr>
        <w:t xml:space="preserve">Digital PR with original data. </w:t>
      </w:r>
      <w:r>
        <w:t xml:space="preserve">The benchmark reports in 5.2 are link bait — pitch them to industry and HR press.</w:t>
      </w:r>
    </w:p>
    <w:p>
      <w:pPr>
        <w:pStyle w:val="ListParagraph"/>
        <w:numPr>
          <w:ilvl w:val="0"/>
          <w:numId w:val="3"/>
        </w:numPr>
        <w:spacing w:after="80" w:line="270"/>
      </w:pPr>
      <w:r>
        <w:rPr>
          <w:b/>
          <w:bCs/>
        </w:rPr>
        <w:t xml:space="preserve">Get listed where buyers compare software: </w:t>
      </w:r>
      <w:r>
        <w:t xml:space="preserve">G2, Capterra, SoftwareAdvice, GetApp profiles for BEG’s isolved practice — these rank and refer.</w:t>
      </w:r>
    </w:p>
    <w:p>
      <w:pPr>
        <w:pStyle w:val="ListParagraph"/>
        <w:numPr>
          <w:ilvl w:val="0"/>
          <w:numId w:val="3"/>
        </w:numPr>
        <w:spacing w:after="80" w:line="270"/>
      </w:pPr>
      <w:r>
        <w:rPr>
          <w:b/>
          <w:bCs/>
        </w:rPr>
        <w:t xml:space="preserve">Partner backlink from isolved. </w:t>
      </w:r>
      <w:r>
        <w:t xml:space="preserve">As an authorized reseller, get a link from isolvedhcm.com’s partner directory (DR 71).</w:t>
      </w:r>
    </w:p>
    <w:p>
      <w:pPr>
        <w:pStyle w:val="ListParagraph"/>
        <w:numPr>
          <w:ilvl w:val="0"/>
          <w:numId w:val="3"/>
        </w:numPr>
        <w:spacing w:after="80" w:line="270"/>
      </w:pPr>
      <w:r>
        <w:rPr>
          <w:b/>
          <w:bCs/>
        </w:rPr>
        <w:t xml:space="preserve">Local + association citations: </w:t>
      </w:r>
      <w:r>
        <w:t xml:space="preserve">DFW chambers, BEG’s own 1,500-member network, sponsor sites (iSolved, WTW), guest posts.</w:t>
      </w:r>
    </w:p>
    <w:p>
      <w:pPr>
        <w:pStyle w:val="ListParagraph"/>
        <w:numPr>
          <w:ilvl w:val="0"/>
          <w:numId w:val="3"/>
        </w:numPr>
        <w:spacing w:after="80" w:line="270"/>
      </w:pPr>
      <w:r>
        <w:rPr>
          <w:b/>
          <w:bCs/>
        </w:rPr>
        <w:t xml:space="preserve">HARO / expert quotes and podcast guesting </w:t>
      </w:r>
      <w:r>
        <w:t xml:space="preserve">for Anthony — earns editorial links and builds E-E-A-T.</w:t>
      </w:r>
    </w:p>
    <w:p>
      <w:pPr>
        <w:pStyle w:val="Heading2"/>
      </w:pPr>
      <w:r>
        <w:t xml:space="preserve">6.3 Technical SEO (largely done — verify and maintain)</w:t>
      </w:r>
    </w:p>
    <w:p>
      <w:pPr>
        <w:pStyle w:val="ListParagraph"/>
        <w:numPr>
          <w:ilvl w:val="0"/>
          <w:numId w:val="3"/>
        </w:numPr>
        <w:spacing w:after="80" w:line="270"/>
      </w:pPr>
      <w:r>
        <w:t xml:space="preserve">robots.txt, sitemap.xml, canonical tags, schema, OG/Twitter tags — already deployed.</w:t>
      </w:r>
    </w:p>
    <w:p>
      <w:pPr>
        <w:pStyle w:val="ListParagraph"/>
        <w:numPr>
          <w:ilvl w:val="0"/>
          <w:numId w:val="3"/>
        </w:numPr>
        <w:spacing w:after="80" w:line="270"/>
      </w:pPr>
      <w:r>
        <w:t xml:space="preserve">Core Web Vitals: keep LCP under 3s on mobile; compress the demo video under 40MB before embedding.</w:t>
      </w:r>
    </w:p>
    <w:p>
      <w:pPr>
        <w:pStyle w:val="ListParagraph"/>
        <w:numPr>
          <w:ilvl w:val="0"/>
          <w:numId w:val="3"/>
        </w:numPr>
        <w:spacing w:after="80" w:line="270"/>
      </w:pPr>
      <w:r>
        <w:t xml:space="preserve">Internal linking discipline: every new page links up to its hub, sideways to its comparison, and out to 2–3 posts.</w:t>
      </w:r>
    </w:p>
    <w:p>
      <w:pPr>
        <w:pStyle w:val="ListParagraph"/>
        <w:numPr>
          <w:ilvl w:val="0"/>
          <w:numId w:val="3"/>
        </w:numPr>
        <w:spacing w:after="80" w:line="270"/>
      </w:pPr>
      <w:r>
        <w:t xml:space="preserve">Verify Search Console is linked and book_call_click is starred as a key event (open item in your notes).</w:t>
      </w:r>
    </w:p>
    <w:p>
      <w:pPr>
        <w:pStyle w:val="Heading2"/>
      </w:pPr>
      <w:r>
        <w:t xml:space="preserve">6.4 The new frontier: AI answer engines (AEO/GEO)</w:t>
      </w:r>
    </w:p>
    <w:p>
      <w:pPr>
        <w:spacing w:after="160" w:line="276"/>
      </w:pPr>
      <w:r>
        <w:rPr>
          <w:b/>
          <w:bCs/>
        </w:rPr>
        <w:t xml:space="preserve">Buyers increasingly ask ChatGPT, Claude, Perplexity and Google AI Overviews “what’s the best HCM software for X” instead of clicking ten blue links. </w:t>
      </w:r>
      <w:r>
        <w:t xml:space="preserve">Optimizing to be cited in those answers is the next battleground — and your Ahrefs plan includes a Brand Radar tool that tracks exactly this.</w:t>
      </w:r>
    </w:p>
    <w:p>
      <w:pPr>
        <w:pStyle w:val="ListParagraph"/>
        <w:numPr>
          <w:ilvl w:val="0"/>
          <w:numId w:val="3"/>
        </w:numPr>
        <w:spacing w:after="80" w:line="270"/>
      </w:pPr>
      <w:r>
        <w:t xml:space="preserve">Write clear, extractable, question-and-answer content (the AI engines quote it directly).</w:t>
      </w:r>
    </w:p>
    <w:p>
      <w:pPr>
        <w:pStyle w:val="ListParagraph"/>
        <w:numPr>
          <w:ilvl w:val="0"/>
          <w:numId w:val="3"/>
        </w:numPr>
        <w:spacing w:after="80" w:line="270"/>
      </w:pPr>
      <w:r>
        <w:t xml:space="preserve">Keep factual claims consistent and sourced — AI engines favor corroborated facts.</w:t>
      </w:r>
    </w:p>
    <w:p>
      <w:pPr>
        <w:pStyle w:val="ListParagraph"/>
        <w:numPr>
          <w:ilvl w:val="0"/>
          <w:numId w:val="3"/>
        </w:numPr>
        <w:spacing w:after="80" w:line="270"/>
      </w:pPr>
      <w:r>
        <w:t xml:space="preserve">The Claude-connector story gives you a natural edge being cited in AI answers about AI-enabled HR.</w:t>
      </w:r>
    </w:p>
    <w:p>
      <w:pPr>
        <w:pStyle w:val="ListParagraph"/>
        <w:numPr>
          <w:ilvl w:val="0"/>
          <w:numId w:val="3"/>
        </w:numPr>
        <w:spacing w:after="80" w:line="270"/>
      </w:pPr>
      <w:r>
        <w:t xml:space="preserve">Track share-of-voice in AI responses over time and double down where you already appear.</w:t>
      </w:r>
    </w:p>
    <w:p>
      <w:pPr>
        <w:pStyle w:val="Heading2"/>
      </w:pPr>
      <w:r>
        <w:t xml:space="preserve">6.5 Measurement</w:t>
      </w:r>
    </w:p>
    <w:p>
      <w:pPr>
        <w:pStyle w:val="ListParagraph"/>
        <w:numPr>
          <w:ilvl w:val="0"/>
          <w:numId w:val="3"/>
        </w:numPr>
        <w:spacing w:after="80" w:line="270"/>
      </w:pPr>
      <w:r>
        <w:t xml:space="preserve">Track rankings for the long-tail clusters (not just head terms) — that is where wins show up first.</w:t>
      </w:r>
    </w:p>
    <w:p>
      <w:pPr>
        <w:pStyle w:val="ListParagraph"/>
        <w:numPr>
          <w:ilvl w:val="0"/>
          <w:numId w:val="3"/>
        </w:numPr>
        <w:spacing w:after="80" w:line="270"/>
      </w:pPr>
      <w:r>
        <w:t xml:space="preserve">Watch Search Console impressions/clicks by page cluster to see which industries gain traction, then deepen those.</w:t>
      </w:r>
    </w:p>
    <w:p>
      <w:pPr>
        <w:pStyle w:val="ListParagraph"/>
        <w:numPr>
          <w:ilvl w:val="0"/>
          <w:numId w:val="3"/>
        </w:numPr>
        <w:spacing w:after="80" w:line="270"/>
      </w:pPr>
      <w:r>
        <w:t xml:space="preserve">Tie organic landing pages to book_call_click conversions in GA4 to prove revenue, not just traffic.</w:t>
      </w:r>
    </w:p>
    <w:p>
      <w:r>
        <w:br w:type="page"/>
      </w:r>
    </w:p>
    <w:p>
      <w:pPr>
        <w:pStyle w:val="Heading1"/>
      </w:pPr>
      <w:r>
        <w:t xml:space="preserve">7. Prioritized 90-Day Roadmap</w:t>
      </w:r>
    </w:p>
    <w:p>
      <w:pPr>
        <w:spacing w:after="160" w:line="276"/>
      </w:pPr>
      <w:r>
        <w:t xml:space="preserve">Sequenced by speed-to-result given DR 0. Comparison and AI pages first because they convert fastest and face the least competition; authority-building runs in parallel because it is the long pole.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Build</w:t>
            </w:r>
          </w:p>
        </w:tc>
        <w:tc>
          <w:tcPr>
            <w:tcW w:type="dxa" w:w="39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20"/>
                <w:szCs w:val="20"/>
              </w:rPr>
              <w:t xml:space="preserve">Why now</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Weeks 1–3</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Deploy the ROI calculator (built). Build the AI/Claude pillar + 3 supporting posts. Launch the AI HR Readiness Scorecard.</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Lowest competition, highest differentiation, first-mover capture.</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Weeks 3–6</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Build the top 12 comparison/alternative pages (Gusto, Rippling, Paychex, BambooHR, UKG, Dayforce + alternatives-to set).</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Highest-converting page type; buyer-ready intent.</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Weeks 4–8</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Build Tier-1 HCM industry pages (manufacturing, construction, restaurants, retail, nonprofit, prof. services, staffing, transportation).</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Closes the silo gap; reuses proven payroll model.</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Weeks 6–10</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Launch 2–3 gated industry benchmark reports; start digital-PR + directory listings (G2/Capterra) + isolved partner backlink.</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Begins lifting DR 0 — unlocks everything else.</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Weeks 8–12</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isolved-branded intent cluster + company-size pages; Tier-2 HCM industries; comparison/recommendation tool.</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Compounds coverage; feeds internal links.</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20"/>
                <w:szCs w:val="20"/>
              </w:rPr>
              <w:t xml:space="preserve">Ongoing</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Yearly refresh of cornerstone pages; AI answer-engine tracking via Brand Radar; convert top blog posts to also link the calculator.</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20"/>
                <w:szCs w:val="20"/>
              </w:rPr>
              <w:t xml:space="preserve">Compounding authority and freshness.</w:t>
            </w:r>
          </w:p>
        </w:tc>
      </w:tr>
    </w:tbl>
    <w:p>
      <w:pPr>
        <w:spacing w:after="120"/>
      </w:pPr>
      <w:r>
        <w:t xml:space="preserve"/>
      </w:r>
    </w:p>
    <w:p>
      <w:pPr>
        <w:spacing w:after="160" w:line="276"/>
      </w:pPr>
      <w:r>
        <w:rPr>
          <w:b/>
          <w:bCs/>
        </w:rPr>
        <w:t xml:space="preserve">Guardrails that stay in force (from your framework): </w:t>
      </w:r>
      <w:r>
        <w:t xml:space="preserve">no em-dashes in any copy; cost stat is “roughly 50% less”; isolved is always lowercase; comparison pages stay fair and accurate; nothing in outreach goes live without your approval; QA every new page’s internal links and the Calendly link before publishing.</w:t>
      </w:r>
    </w:p>
    <w:p>
      <w:r>
        <w:br w:type="page"/>
      </w:r>
    </w:p>
    <w:p>
      <w:pPr>
        <w:pStyle w:val="Heading1"/>
      </w:pPr>
      <w:r>
        <w:t xml:space="preserve">8. Build Details &amp; Sources</w:t>
      </w:r>
    </w:p>
    <w:p>
      <w:pPr>
        <w:pStyle w:val="Heading2"/>
      </w:pPr>
      <w:r>
        <w:t xml:space="preserve">The lead magnet I built: isolved / HCM ROI Calculator</w:t>
      </w:r>
    </w:p>
    <w:p>
      <w:pPr>
        <w:pStyle w:val="ListParagraph"/>
        <w:numPr>
          <w:ilvl w:val="0"/>
          <w:numId w:val="3"/>
        </w:numPr>
        <w:spacing w:after="80" w:line="270"/>
      </w:pPr>
      <w:r>
        <w:rPr>
          <w:b/>
          <w:bCs/>
        </w:rPr>
        <w:t xml:space="preserve">File: </w:t>
      </w:r>
      <w:r>
        <w:t xml:space="preserve">src/app/services/hcm-software/roi-calculator/page.tsx (+ HCMROICalculator.tsx component).</w:t>
      </w:r>
    </w:p>
    <w:p>
      <w:pPr>
        <w:pStyle w:val="ListParagraph"/>
        <w:numPr>
          <w:ilvl w:val="0"/>
          <w:numId w:val="3"/>
        </w:numPr>
        <w:spacing w:after="80" w:line="270"/>
      </w:pPr>
      <w:r>
        <w:rPr>
          <w:b/>
          <w:bCs/>
        </w:rPr>
        <w:t xml:space="preserve">Route: </w:t>
      </w:r>
      <w:r>
        <w:t xml:space="preserve">beghr.com/services/hcm-software/roi-calculator</w:t>
      </w:r>
    </w:p>
    <w:p>
      <w:pPr>
        <w:pStyle w:val="ListParagraph"/>
        <w:numPr>
          <w:ilvl w:val="0"/>
          <w:numId w:val="3"/>
        </w:numPr>
        <w:spacing w:after="80" w:line="270"/>
      </w:pPr>
      <w:r>
        <w:rPr>
          <w:b/>
          <w:bCs/>
        </w:rPr>
        <w:t xml:space="preserve">Stack: </w:t>
      </w:r>
      <w:r>
        <w:t xml:space="preserve">Next.js + React client component, black + gold brand system, no em-dashes, isolved lowercase, routes to your Calendly discovery-call link.</w:t>
      </w:r>
    </w:p>
    <w:p>
      <w:pPr>
        <w:pStyle w:val="ListParagraph"/>
        <w:numPr>
          <w:ilvl w:val="0"/>
          <w:numId w:val="3"/>
        </w:numPr>
        <w:spacing w:after="80" w:line="270"/>
      </w:pPr>
      <w:r>
        <w:rPr>
          <w:b/>
          <w:bCs/>
        </w:rPr>
        <w:t xml:space="preserve">To deploy: </w:t>
      </w:r>
      <w:r>
        <w:t xml:space="preserve">review locally, then from the repo run git add, commit, and git push origin master (Vercel auto-deploys). Then add it to sitemap and link it from the main HCM page and every comparison page.</w:t>
      </w:r>
    </w:p>
    <w:p>
      <w:pPr>
        <w:pStyle w:val="ListParagraph"/>
        <w:numPr>
          <w:ilvl w:val="0"/>
          <w:numId w:val="3"/>
        </w:numPr>
        <w:spacing w:after="80" w:line="270"/>
      </w:pPr>
      <w:r>
        <w:rPr>
          <w:b/>
          <w:bCs/>
        </w:rPr>
        <w:t xml:space="preserve">Note: </w:t>
      </w:r>
      <w:r>
        <w:t xml:space="preserve">I did not push it live — per your rule, nothing goes live without your approval. It is ready in the repo for your review.</w:t>
      </w:r>
    </w:p>
    <w:p>
      <w:pPr>
        <w:pStyle w:val="Heading2"/>
      </w:pPr>
      <w:r>
        <w:t xml:space="preserve">Methodology &amp; sources</w:t>
      </w:r>
    </w:p>
    <w:p>
      <w:pPr>
        <w:spacing w:after="160" w:line="276"/>
      </w:pPr>
      <w:r>
        <w:t xml:space="preserve">Domain Ratings pulled live from Ahrefs (free Domain Rating tool), June 28, 2026. Competitor set, comparison landscape, calculator-as-lead-magnet validation, and payroll cost benchmarks gathered from public sources via web research. Site gap analysis performed directly against the live beghr.com repository and the existing framework files.</w:t>
      </w:r>
    </w:p>
    <w:p>
      <w:pPr>
        <w:pStyle w:val="ListParagraph"/>
        <w:numPr>
          <w:ilvl w:val="0"/>
          <w:numId w:val="3"/>
        </w:numPr>
        <w:spacing w:after="60"/>
      </w:pPr>
      <w:hyperlink w:history="1" r:id="rIdg2umoijx2-jvf-b7ddrsi">
        <w:r>
          <w:rPr>
            <w:rStyle w:val="Hyperlink"/>
          </w:rPr>
          <w:t xml:space="preserve">G2 — isolved competitors &amp; alternatives</w:t>
        </w:r>
      </w:hyperlink>
    </w:p>
    <w:p>
      <w:pPr>
        <w:pStyle w:val="ListParagraph"/>
        <w:numPr>
          <w:ilvl w:val="0"/>
          <w:numId w:val="3"/>
        </w:numPr>
        <w:spacing w:after="60"/>
      </w:pPr>
      <w:hyperlink w:history="1" r:id="rIdcqhzaoutw4q5bfj3n678e">
        <w:r>
          <w:rPr>
            <w:rStyle w:val="Hyperlink"/>
          </w:rPr>
          <w:t xml:space="preserve">SoftwareFinder — Top 10 isolved competitors &amp; alternatives 2026</w:t>
        </w:r>
      </w:hyperlink>
    </w:p>
    <w:p>
      <w:pPr>
        <w:pStyle w:val="ListParagraph"/>
        <w:numPr>
          <w:ilvl w:val="0"/>
          <w:numId w:val="3"/>
        </w:numPr>
        <w:spacing w:after="60"/>
      </w:pPr>
      <w:hyperlink w:history="1" r:id="rId3fsn2wnffffoccvy7bzlq">
        <w:r>
          <w:rPr>
            <w:rStyle w:val="Hyperlink"/>
          </w:rPr>
          <w:t xml:space="preserve">Gusto — Best Paylocity alternatives</w:t>
        </w:r>
      </w:hyperlink>
    </w:p>
    <w:p>
      <w:pPr>
        <w:pStyle w:val="ListParagraph"/>
        <w:numPr>
          <w:ilvl w:val="0"/>
          <w:numId w:val="3"/>
        </w:numPr>
        <w:spacing w:after="60"/>
      </w:pPr>
      <w:hyperlink w:history="1" r:id="rIdz-tzn0elaapulg3na10zg">
        <w:r>
          <w:rPr>
            <w:rStyle w:val="Hyperlink"/>
          </w:rPr>
          <w:t xml:space="preserve">Paycor — HCM Software Cost Savings Calculator (lead-magnet model)</w:t>
        </w:r>
      </w:hyperlink>
    </w:p>
    <w:p>
      <w:pPr>
        <w:pStyle w:val="ListParagraph"/>
        <w:numPr>
          <w:ilvl w:val="0"/>
          <w:numId w:val="3"/>
        </w:numPr>
        <w:spacing w:after="60"/>
      </w:pPr>
      <w:hyperlink w:history="1" r:id="rIdkddbznhemh3k62yf-ttek">
        <w:r>
          <w:rPr>
            <w:rStyle w:val="Hyperlink"/>
          </w:rPr>
          <w:t xml:space="preserve">PrimePay — HCM ROI Calculator (lead-magnet model)</w:t>
        </w:r>
      </w:hyperlink>
    </w:p>
    <w:p>
      <w:pPr>
        <w:pStyle w:val="ListParagraph"/>
        <w:numPr>
          <w:ilvl w:val="0"/>
          <w:numId w:val="3"/>
        </w:numPr>
        <w:spacing w:after="60"/>
      </w:pPr>
      <w:hyperlink w:history="1" r:id="rIdzktoqvrkvkj5poljydzce">
        <w:r>
          <w:rPr>
            <w:rStyle w:val="Hyperlink"/>
          </w:rPr>
          <w:t xml:space="preserve">isolved — Manufacturing industry page (industry-page demand signal)</w:t>
        </w:r>
      </w:hyperlink>
    </w:p>
    <w:p>
      <w:pPr>
        <w:pStyle w:val="ListParagraph"/>
        <w:numPr>
          <w:ilvl w:val="0"/>
          <w:numId w:val="3"/>
        </w:numPr>
        <w:spacing w:after="60"/>
      </w:pPr>
      <w:hyperlink w:history="1" r:id="rIdvkvf4pptjz2ouuhrci6s_">
        <w:r>
          <w:rPr>
            <w:rStyle w:val="Hyperlink"/>
          </w:rPr>
          <w:t xml:space="preserve">QuickBooks — Cost of payroll 2026 guide (benchmark data)</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Prepared by Claude for Anthony Moretti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BEG · HCM SEO Domination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CAC60" w:sz="6" w:space="4"/>
      </w:pBdr>
      <w:spacing w:after="16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8A6B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2umoijx2-jvf-b7ddrsi" Type="http://schemas.openxmlformats.org/officeDocument/2006/relationships/hyperlink" Target="https://www.g2.com/products/isolved/competitors/alternatives" TargetMode="External"/><Relationship Id="rIdcqhzaoutw4q5bfj3n678e" Type="http://schemas.openxmlformats.org/officeDocument/2006/relationships/hyperlink" Target="https://softwarefinder.com/hr/isolved/alternatives" TargetMode="External"/><Relationship Id="rId3fsn2wnffffoccvy7bzlq" Type="http://schemas.openxmlformats.org/officeDocument/2006/relationships/hyperlink" Target="https://gusto.com/resources/guides/best-paylocity-alternatives" TargetMode="External"/><Relationship Id="rIdz-tzn0elaapulg3na10zg" Type="http://schemas.openxmlformats.org/officeDocument/2006/relationships/hyperlink" Target="https://www.paycor.com/resource-center/tools/cost-savings-calculator/" TargetMode="External"/><Relationship Id="rIdkddbznhemh3k62yf-ttek" Type="http://schemas.openxmlformats.org/officeDocument/2006/relationships/hyperlink" Target="https://primepay.com/calculator/hcm-roi-calculator/" TargetMode="External"/><Relationship Id="rIdzktoqvrkvkj5poljydzce" Type="http://schemas.openxmlformats.org/officeDocument/2006/relationships/hyperlink" Target="https://www.isolvedhcm.com/industries/manufacturing" TargetMode="External"/><Relationship Id="rIdvkvf4pptjz2ouuhrci6s_" Type="http://schemas.openxmlformats.org/officeDocument/2006/relationships/hyperlink" Target="https://quickbooks.intuit.com/r/payroll/cost-of-payrol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HCM Software SEO Domination Plan</dc:title>
  <dc:creator>Claude for Anthony Moretti / BEG</dc:creator>
  <cp:lastModifiedBy>Un-named</cp:lastModifiedBy>
  <cp:revision>1</cp:revision>
  <dcterms:created xsi:type="dcterms:W3CDTF">2026-06-28T13:11:28.816Z</dcterms:created>
  <dcterms:modified xsi:type="dcterms:W3CDTF">2026-06-28T13:11:28.817Z</dcterms:modified>
</cp:coreProperties>
</file>

<file path=docProps/custom.xml><?xml version="1.0" encoding="utf-8"?>
<Properties xmlns="http://schemas.openxmlformats.org/officeDocument/2006/custom-properties" xmlns:vt="http://schemas.openxmlformats.org/officeDocument/2006/docPropsVTypes"/>
</file>