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666666"/>
          <w:sz w:val="22"/>
          <w:szCs w:val="22"/>
        </w:rPr>
        <w:t xml:space="preserve">BUSINESS EXECUTIVE GROUP</w:t>
      </w:r>
    </w:p>
    <w:p>
      <w:pPr>
        <w:pBdr>
          <w:bottom w:val="single" w:color="ECAC60" w:sz="18" w:space="4"/>
        </w:pBdr>
        <w:spacing w:after="80"/>
      </w:pPr>
    </w:p>
    <w:p>
      <w:pPr>
        <w:spacing w:after="60" w:before="200"/>
      </w:pPr>
      <w:r>
        <w:rPr>
          <w:b/>
          <w:bCs/>
          <w:color w:val="000000"/>
          <w:sz w:val="52"/>
          <w:szCs w:val="52"/>
        </w:rPr>
        <w:t xml:space="preserve">Job Placement SEO Domination Strategy</w:t>
      </w:r>
    </w:p>
    <w:p>
      <w:pPr>
        <w:spacing w:after="40"/>
      </w:pPr>
      <w:r>
        <w:rPr>
          <w:color w:val="666666"/>
          <w:sz w:val="26"/>
          <w:szCs w:val="26"/>
        </w:rPr>
        <w:t xml:space="preserve">Owning the organic search market for milestone-based professional placement, nationally.</w:t>
      </w:r>
    </w:p>
    <w:p>
      <w:pPr>
        <w:spacing w:before="360"/>
      </w:pPr>
      <w:r>
        <w:rPr>
          <w:color w:val="1A1A1A"/>
          <w:sz w:val="21"/>
          <w:szCs w:val="21"/>
        </w:rPr>
        <w:t xml:space="preserve">Vertical: Job Placement (iSolved Job Placement Services reseller)</w:t>
      </w:r>
    </w:p>
    <w:p>
      <w:r>
        <w:rPr>
          <w:color w:val="1A1A1A"/>
          <w:sz w:val="21"/>
          <w:szCs w:val="21"/>
        </w:rPr>
        <w:t xml:space="preserve">Scope: National   |   Prepared for: Anthony Moretti, VP of Sales</w:t>
      </w:r>
    </w:p>
    <w:p>
      <w:r>
        <w:rPr>
          <w:color w:val="1A1A1A"/>
          <w:sz w:val="21"/>
          <w:szCs w:val="21"/>
        </w:rPr>
        <w:t xml:space="preserve">Date: June 28, 2026</w:t>
      </w:r>
    </w:p>
    <w:p>
      <w:pPr>
        <w:spacing w:before="520"/>
      </w:pPr>
      <w:r>
        <w:rPr>
          <w:i/>
          <w:iCs/>
          <w:color w:val="666666"/>
          <w:sz w:val="19"/>
          <w:szCs w:val="19"/>
        </w:rPr>
        <w:t xml:space="preserve">Built on real Ahrefs domain-authority data and SERP research. Aligned to the existing beghr.com SEO framework and brand voice.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20" w:line="276"/>
      </w:pPr>
      <w:r>
        <w:t xml:space="preserve">You asked the right question: what are we missing, and how do we completely own organic search for the placement business. Here is the short version, then the full plan follows.</w:t>
      </w:r>
    </w:p>
    <w:p>
      <w:pPr>
        <w:spacing w:after="140" w:line="276"/>
      </w:pPr>
      <w:r>
        <w:rPr>
          <w:b/>
          <w:bCs/>
        </w:rPr>
        <w:t xml:space="preserve">The reality check. </w:t>
      </w:r>
      <w:r>
        <w:t xml:space="preserve">beghr.com currently sits at a Domain Rating of 0. The firms ranking for the head terms we want are far ahead: Robert Half at 83, Insight Global at 72, Vaco at 60, Kforce and Michael Page at 58, and the legal specialist Major, Lindsey and Africa at 55. We will not outrank them on "executive search firm" or "legal recruiters" any time soon, and chasing those terms head-on would waste the runway.</w:t>
      </w:r>
    </w:p>
    <w:p>
      <w:pPr>
        <w:spacing w:after="140" w:line="276"/>
      </w:pPr>
      <w:r>
        <w:rPr>
          <w:b/>
          <w:bCs/>
        </w:rPr>
        <w:t xml:space="preserve">The winning play. </w:t>
      </w:r>
      <w:r>
        <w:t xml:space="preserve">We win the same way the managed-payroll silo is being built: programmatic depth at scale across the long tail, decision-stage, and hyper-niche surface where the giants run thin, generic content. Industry by industry, role by role, city by city, and decision by decision. On top of that we build one real data asset, an annual salary and time-to-fill guide, that earns links and lifts our authority so the harder terms come into reach over time.</w:t>
      </w:r>
    </w:p>
    <w:p>
      <w:pPr>
        <w:spacing w:after="140" w:line="276"/>
      </w:pPr>
      <w:r>
        <w:rPr>
          <w:b/>
          <w:bCs/>
        </w:rPr>
        <w:t xml:space="preserve">The wedge nobody else owns. </w:t>
      </w:r>
      <w:r>
        <w:t xml:space="preserve">Every competitor sells contingency or staffing. None of them market a milestone-billed model at roughly 50% less than contingency, with a 23-35 day fill, an 86% fill rate, and a 45-day replacement guarantee. That positioning is a content moat. We make the cost, the speed, and the transparency the center of gravity for the entire silo.</w:t>
      </w:r>
    </w:p>
    <w:p>
      <w:pPr>
        <w:spacing w:after="120" w:line="276"/>
      </w:pPr>
      <w:r>
        <w:t xml:space="preserve">This document covers six things: the industries we are missing, the high-intent keyword gaps, a top-five competitor comparison, the resources and lead magnets to build beyond blog posts, the page architecture that ties it together, and a prioritized 90-day roadmap. A short list of decisions I need from you is at the end.</w:t>
      </w:r>
    </w:p>
    <w:p>
      <w:pPr>
        <w:pBdr>
          <w:bottom w:val="single" w:color="ECAC60" w:sz="6" w:space="1"/>
        </w:pBdr>
        <w:spacing w:after="160"/>
      </w:pPr>
    </w:p>
    <w:p>
      <w:pPr>
        <w:pStyle w:val="Heading1"/>
      </w:pPr>
      <w:r>
        <w:t xml:space="preserve">1. Where We Stand Today</w:t>
      </w:r>
    </w:p>
    <w:p>
      <w:pPr>
        <w:pStyle w:val="Heading2"/>
      </w:pPr>
      <w:r>
        <w:t xml:space="preserve">Current job-placement footprint on beghr.com</w:t>
      </w:r>
    </w:p>
    <w:p>
      <w:pPr>
        <w:spacing w:after="120" w:line="276"/>
      </w:pPr>
      <w:r>
        <w:t xml:space="preserve">The silo is live and well structured, but it is heavily legal-weighted and thin everywhere else.</w:t>
      </w:r>
    </w:p>
    <w:p>
      <w:pPr>
        <w:pStyle w:val="ListParagraph"/>
        <w:numPr>
          <w:ilvl w:val="0"/>
          <w:numId w:val="2"/>
        </w:numPr>
        <w:spacing w:after="60" w:line="264"/>
      </w:pPr>
      <w:r>
        <w:t xml:space="preserve">Service hub: /services/job-placement, with the proven ServicePage framework (hero stats of 23-35 days, 86% fill rate, roughly 50% less than contingency), a pain section, a market-context section, and a how-it-works section.</w:t>
      </w:r>
    </w:p>
    <w:p>
      <w:pPr>
        <w:pStyle w:val="ListParagraph"/>
        <w:numPr>
          <w:ilvl w:val="0"/>
          <w:numId w:val="2"/>
        </w:numPr>
        <w:spacing w:after="60" w:line="264"/>
      </w:pPr>
      <w:r>
        <w:t xml:space="preserve">Seven industry pages: legal, healthcare, technology, finance, engineering, executive, and trades.</w:t>
      </w:r>
    </w:p>
    <w:p>
      <w:pPr>
        <w:pStyle w:val="ListParagraph"/>
        <w:numPr>
          <w:ilvl w:val="0"/>
          <w:numId w:val="2"/>
        </w:numPr>
        <w:spacing w:after="60" w:line="264"/>
      </w:pPr>
      <w:r>
        <w:t xml:space="preserve">One full blog cluster, legal only: five posts under /blog/legal-hiring (associate hiring, attorney market trends, in-house counsel, paralegal recruiting, solo firm growth).</w:t>
      </w:r>
    </w:p>
    <w:p>
      <w:pPr>
        <w:pStyle w:val="ListParagraph"/>
        <w:numPr>
          <w:ilvl w:val="0"/>
          <w:numId w:val="2"/>
        </w:numPr>
        <w:spacing w:after="60" w:line="264"/>
      </w:pPr>
      <w:r>
        <w:t xml:space="preserve">Three bottom-of-funnel comparison pages: legal staffing vs placement, contingency vs retained vs milestone, and how long an attorney search should take.</w:t>
      </w:r>
    </w:p>
    <w:p>
      <w:pPr>
        <w:spacing w:after="120" w:line="276"/>
      </w:pPr>
      <w:r>
        <w:t xml:space="preserve">The gap is obvious: six of the seven industries have a service page but no supporting content, no role-level pages, no city-level pages, and no lead magnets. Legal is the template. Everything else needs to be built out to match and then surpass it.</w:t>
      </w:r>
    </w:p>
    <w:p>
      <w:pPr>
        <w:pStyle w:val="Heading2"/>
      </w:pPr>
      <w:r>
        <w:t xml:space="preserve">Authority benchmark (live Ahrefs Domain Rating, June 2026)</w:t>
      </w:r>
    </w:p>
    <w:p>
      <w:pPr>
        <w:spacing w:after="120" w:line="276"/>
      </w:pPr>
      <w:r>
        <w:t xml:space="preserve">Domain Rating (DR) is a 0-100 measure of backlink authority. It is the single biggest reason a thin page outranks a great page. Here is where we sit against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Domain</w:t>
            </w:r>
          </w:p>
        </w:tc>
        <w:tc>
          <w:tcPr>
            <w:tcW w:type="dxa" w:w="150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center"/>
            </w:pPr>
            <w:r>
              <w:rPr>
                <w:b/>
                <w:bCs/>
              </w:rPr>
              <w:t xml:space="preserve">DR</w:t>
            </w:r>
          </w:p>
        </w:tc>
        <w:tc>
          <w:tcPr>
            <w:tcW w:type="dxa" w:w="446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What they own in search</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beghr.com (us)</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center"/>
            </w:pPr>
            <w:r>
              <w:rPr>
                <w:b/>
                <w:bCs/>
                <w:color w:val="B00000"/>
              </w:rPr>
              <w:t xml:space="preserve">0</w:t>
            </w:r>
          </w:p>
        </w:tc>
        <w:tc>
          <w:tcPr>
            <w:tcW w:type="dxa" w:w="44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New domain. No authority yet. Cannot win head terms head-on.</w:t>
            </w:r>
          </w:p>
        </w:tc>
      </w:tr>
      <w:tr>
        <w:trPr>
          <w:tblHeader w:val="false"/>
        </w:trPr>
        <w:tc>
          <w:tcPr>
            <w:tcW w:type="dxa" w:w="34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roberthalf.com</w:t>
            </w:r>
          </w:p>
        </w:tc>
        <w:tc>
          <w:tcPr>
            <w:tcW w:type="dxa" w:w="15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center"/>
            </w:pPr>
            <w:r>
              <w:t xml:space="preserve">83</w:t>
            </w:r>
          </w:p>
        </w:tc>
        <w:tc>
          <w:tcPr>
            <w:tcW w:type="dxa" w:w="44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Salary guides, time-to-hire, generalist plus legal/finance/tech. The link magnet to study and beat.</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insightglobal.com</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center"/>
            </w:pPr>
            <w:r>
              <w:t xml:space="preserve">72</w:t>
            </w:r>
          </w:p>
        </w:tc>
        <w:tc>
          <w:tcPr>
            <w:tcW w:type="dxa" w:w="44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IT and contract staffing volume. Weak on permanent-placement thought leadership.</w:t>
            </w:r>
          </w:p>
        </w:tc>
      </w:tr>
      <w:tr>
        <w:trPr>
          <w:tblHeader w:val="false"/>
        </w:trPr>
        <w:tc>
          <w:tcPr>
            <w:tcW w:type="dxa" w:w="34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vaco.com</w:t>
            </w:r>
          </w:p>
        </w:tc>
        <w:tc>
          <w:tcPr>
            <w:tcW w:type="dxa" w:w="15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center"/>
            </w:pPr>
            <w:r>
              <w:t xml:space="preserve">60</w:t>
            </w:r>
          </w:p>
        </w:tc>
        <w:tc>
          <w:tcPr>
            <w:tcW w:type="dxa" w:w="44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Finance and accounting, mid-market.</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michaelpage.com</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center"/>
            </w:pPr>
            <w:r>
              <w:t xml:space="preserve">58</w:t>
            </w:r>
          </w:p>
        </w:tc>
        <w:tc>
          <w:tcPr>
            <w:tcW w:type="dxa" w:w="44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Professional placement, strong salary-guide and job-seeker content.</w:t>
            </w:r>
          </w:p>
        </w:tc>
      </w:tr>
      <w:tr>
        <w:trPr>
          <w:tblHeader w:val="false"/>
        </w:trPr>
        <w:tc>
          <w:tcPr>
            <w:tcW w:type="dxa" w:w="34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kforce.com</w:t>
            </w:r>
          </w:p>
        </w:tc>
        <w:tc>
          <w:tcPr>
            <w:tcW w:type="dxa" w:w="15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center"/>
            </w:pPr>
            <w:r>
              <w:t xml:space="preserve">58</w:t>
            </w:r>
          </w:p>
        </w:tc>
        <w:tc>
          <w:tcPr>
            <w:tcW w:type="dxa" w:w="44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Technology and finance.</w:t>
            </w:r>
          </w:p>
        </w:tc>
      </w:tr>
      <w:tr>
        <w:trPr>
          <w:tblHeader w:val="false"/>
        </w:trPr>
        <w:tc>
          <w:tcPr>
            <w:tcW w:type="dxa" w:w="34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mlaglobal.com</w:t>
            </w:r>
          </w:p>
        </w:tc>
        <w:tc>
          <w:tcPr>
            <w:tcW w:type="dxa" w:w="15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center"/>
            </w:pPr>
            <w:r>
              <w:t xml:space="preserve">55</w:t>
            </w:r>
          </w:p>
        </w:tc>
        <w:tc>
          <w:tcPr>
            <w:tcW w:type="dxa" w:w="44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Major, Lindsey and Africa. The legal specialist to displace on niche terms.</w:t>
            </w:r>
          </w:p>
        </w:tc>
      </w:tr>
    </w:tbl>
    <w:p>
      <w:pPr>
        <w:spacing w:after="120" w:line="276"/>
      </w:pPr>
      <w:r>
        <w:rPr>
          <w:i/>
          <w:iCs/>
          <w:color w:val="666666"/>
        </w:rPr>
        <w:t xml:space="preserve">Takeaway: authority is the constraint. The strategy is built to win where authority matters least (specific, long-tail, decision-stage queries) while we manufacture authority with a data asset that attracts links.</w:t>
      </w:r>
    </w:p>
    <w:p>
      <w:pPr>
        <w:pBdr>
          <w:bottom w:val="single" w:color="ECAC60" w:sz="6" w:space="1"/>
        </w:pBdr>
        <w:spacing w:after="160"/>
      </w:pPr>
    </w:p>
    <w:p>
      <w:pPr>
        <w:pStyle w:val="Heading1"/>
      </w:pPr>
      <w:r>
        <w:t xml:space="preserve">2. The Strategy In One Idea</w:t>
      </w:r>
    </w:p>
    <w:p>
      <w:pPr>
        <w:spacing w:after="140" w:line="276"/>
      </w:pPr>
      <w:r>
        <w:rPr>
          <w:b/>
          <w:bCs/>
        </w:rPr>
        <w:t xml:space="preserve">Stop competing for the few fat head terms. Capture the thousand specific searches the giants ignore, and become the obvious answer for the milestone model.</w:t>
      </w:r>
    </w:p>
    <w:p>
      <w:pPr>
        <w:spacing w:after="120" w:line="276"/>
      </w:pPr>
      <w:r>
        <w:t xml:space="preserve">There are four layers to the surface area, from hardest to easiest to win:</w:t>
      </w:r>
    </w:p>
    <w:p>
      <w:pPr>
        <w:pStyle w:val="ListParagraph"/>
        <w:numPr>
          <w:ilvl w:val="0"/>
          <w:numId w:val="3"/>
        </w:numPr>
        <w:spacing w:after="60" w:line="264"/>
      </w:pPr>
      <w:r>
        <w:rPr>
          <w:b/>
          <w:bCs/>
        </w:rPr>
        <w:t xml:space="preserve">Head terms </w:t>
      </w:r>
      <w:r>
        <w:t xml:space="preserve">("executive search firm", "legal recruiters"). High volume, high difficulty, owned by DR 55-83 incumbents. We do not chase these yet. We earn them later through authority.</w:t>
      </w:r>
    </w:p>
    <w:p>
      <w:pPr>
        <w:pStyle w:val="ListParagraph"/>
        <w:numPr>
          <w:ilvl w:val="0"/>
          <w:numId w:val="3"/>
        </w:numPr>
        <w:spacing w:after="60" w:line="264"/>
      </w:pPr>
      <w:r>
        <w:rPr>
          <w:b/>
          <w:bCs/>
        </w:rPr>
        <w:t xml:space="preserve">Industry hubs </w:t>
      </w:r>
      <w:r>
        <w:t xml:space="preserve">("cybersecurity recruiters", "accounting placement"). Moderate difficulty. We expand from 7 to roughly 20 and make each the best page on the web for that niche.</w:t>
      </w:r>
    </w:p>
    <w:p>
      <w:pPr>
        <w:pStyle w:val="ListParagraph"/>
        <w:numPr>
          <w:ilvl w:val="0"/>
          <w:numId w:val="3"/>
        </w:numPr>
        <w:spacing w:after="60" w:line="264"/>
      </w:pPr>
      <w:r>
        <w:rPr>
          <w:b/>
          <w:bCs/>
        </w:rPr>
        <w:t xml:space="preserve">Role and city long tail </w:t>
      </w:r>
      <w:r>
        <w:t xml:space="preserve">("controller recruiters in Dallas", "CISO search firm", "general counsel search"). Low difficulty, high intent, enormous combined volume. This is the programmatic engine, the same model as the 50 managed-payroll state pages.</w:t>
      </w:r>
    </w:p>
    <w:p>
      <w:pPr>
        <w:pStyle w:val="ListParagraph"/>
        <w:numPr>
          <w:ilvl w:val="0"/>
          <w:numId w:val="3"/>
        </w:numPr>
        <w:spacing w:after="60" w:line="264"/>
      </w:pPr>
      <w:r>
        <w:rPr>
          <w:b/>
          <w:bCs/>
        </w:rPr>
        <w:t xml:space="preserve">Decision and cost queries </w:t>
      </w:r>
      <w:r>
        <w:t xml:space="preserve">("direct hire vs contingency", "how much do recruiters charge", "cost of an unfilled role"). Bottom of funnel, where our milestone and 50%-less message converts. This is where we are strongest and least contested.</w:t>
      </w:r>
    </w:p>
    <w:p>
      <w:pPr>
        <w:spacing w:after="120" w:line="276"/>
      </w:pPr>
      <w:r>
        <w:t xml:space="preserve">Layers 2, 3, and 4 are winnable now at DR 0 because they reward specificity and depth over raw authority. Layer 1 becomes winnable once the salary guide and the link-earning assets pull our DR up.</w:t>
      </w:r>
    </w:p>
    <w:p>
      <w:pPr>
        <w:pBdr>
          <w:bottom w:val="single" w:color="ECAC60" w:sz="6" w:space="1"/>
        </w:pBdr>
        <w:spacing w:after="160"/>
      </w:pPr>
    </w:p>
    <w:p>
      <w:pPr>
        <w:pStyle w:val="Heading1"/>
      </w:pPr>
      <w:r>
        <w:t xml:space="preserve">3. Industries We Are Missing</w:t>
      </w:r>
    </w:p>
    <w:p>
      <w:pPr>
        <w:spacing w:after="120" w:line="276"/>
      </w:pPr>
      <w:r>
        <w:t xml:space="preserve">We cover 7 of the roughly 20 professional-placement verticals that carry real placement-fee value and a built-in talent-shortage story. Below is the full gap list, tiered by priority. Priority weighs fee size, the strength of the shortage narrative (which gives us the content angle and the urgency), cross-silo synergy with an existing managed-payroll industry page, and your runway-driven need for high-fee white-collar roles first.</w:t>
      </w:r>
    </w:p>
    <w:p>
      <w:pPr>
        <w:pStyle w:val="Heading2"/>
      </w:pPr>
      <w:r>
        <w:t xml:space="preserve">Tier 1: build first (high fee, strong shortage story, cross-silo synergy)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Industry</w:t>
            </w:r>
          </w:p>
        </w:tc>
        <w:tc>
          <w:tcPr>
            <w:tcW w:type="dxa" w:w="436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Why it wins</w:t>
            </w:r>
          </w:p>
        </w:tc>
        <w:tc>
          <w:tcPr>
            <w:tcW w:type="dxa" w:w="270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Cross-silo payroll page?</w:t>
            </w:r>
          </w:p>
        </w:tc>
      </w:tr>
      <w:tr>
        <w:trPr>
          <w:tblHeader w:val="false"/>
        </w:trP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Accounting / CPA</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Distinct from finance. The CPA shortage is a national story. Busy-season urgency. Premium fees.</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Yes (accounting-cpa)</w:t>
            </w:r>
          </w:p>
        </w:tc>
      </w:tr>
      <w:tr>
        <w:trPr>
          <w:tblHeader w:val="false"/>
        </w:trPr>
        <w:tc>
          <w:tcPr>
            <w:tcW w:type="dxa" w:w="2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Sales</w:t>
            </w:r>
          </w:p>
        </w:tc>
        <w:tc>
          <w:tcPr>
            <w:tcW w:type="dxa" w:w="43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One of the highest-volume B2B placement niches. SDR, AE, VP Sales. Constant churn equals constant demand.</w:t>
            </w:r>
          </w:p>
        </w:tc>
        <w:tc>
          <w:tcPr>
            <w:tcW w:type="dxa" w:w="27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No (net-new angle)</w:t>
            </w:r>
          </w:p>
        </w:tc>
      </w:tr>
      <w:tr>
        <w:trPr>
          <w:tblHeader w:val="false"/>
        </w:trP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Cybersecurity / InfoSec</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Severe shortage, premium fees, CISO and analyst demand. Low-competition niche content.</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Partial (security)</w:t>
            </w:r>
          </w:p>
        </w:tc>
      </w:tr>
      <w:tr>
        <w:trPr>
          <w:tblHeader w:val="false"/>
        </w:trPr>
        <w:tc>
          <w:tcPr>
            <w:tcW w:type="dxa" w:w="2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Insurance</w:t>
            </w:r>
          </w:p>
        </w:tc>
        <w:tc>
          <w:tcPr>
            <w:tcW w:type="dxa" w:w="43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Aging workforce, producer and underwriter crisis. Agencies hire constantly.</w:t>
            </w:r>
          </w:p>
        </w:tc>
        <w:tc>
          <w:tcPr>
            <w:tcW w:type="dxa" w:w="27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Yes (insurance-agency)</w:t>
            </w:r>
          </w:p>
        </w:tc>
      </w:tr>
      <w:tr>
        <w:trPr>
          <w:tblHeader w:val="false"/>
        </w:trP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Human Resources / People Ops</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On-brand for an HR company. HR and payroll leaders are our buyers already.</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Cross-sell native</w:t>
            </w:r>
          </w:p>
        </w:tc>
      </w:tr>
      <w:tr>
        <w:trPr>
          <w:tblHeader w:val="false"/>
        </w:trPr>
        <w:tc>
          <w:tcPr>
            <w:tcW w:type="dxa" w:w="2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Construction management</w:t>
            </w:r>
          </w:p>
        </w:tc>
        <w:tc>
          <w:tcPr>
            <w:tcW w:type="dxa" w:w="43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PMs, estimators, superintendents. High-value roles, distinct from trades labor.</w:t>
            </w:r>
          </w:p>
        </w:tc>
        <w:tc>
          <w:tcPr>
            <w:tcW w:type="dxa" w:w="27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Yes (case study + trades)</w:t>
            </w:r>
          </w:p>
        </w:tc>
      </w:tr>
    </w:tbl>
    <w:p>
      <w:pPr>
        <w:pStyle w:val="Heading2"/>
      </w:pPr>
      <w:r>
        <w:t xml:space="preserve">Tier 2: build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Industry</w:t>
            </w:r>
          </w:p>
        </w:tc>
        <w:tc>
          <w:tcPr>
            <w:tcW w:type="dxa" w:w="436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Why it wins</w:t>
            </w:r>
          </w:p>
        </w:tc>
        <w:tc>
          <w:tcPr>
            <w:tcW w:type="dxa" w:w="270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Cross-silo payroll page?</w:t>
            </w:r>
          </w:p>
        </w:tc>
      </w:tr>
      <w:tr>
        <w:trPr>
          <w:tblHeader w:val="false"/>
        </w:trP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Supply chain / logistics</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Hot post-pandemic category. Ops and planning leadership.</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Partial (trucking)</w:t>
            </w:r>
          </w:p>
        </w:tc>
      </w:tr>
      <w:tr>
        <w:trPr>
          <w:tblHeader w:val="false"/>
        </w:trPr>
        <w:tc>
          <w:tcPr>
            <w:tcW w:type="dxa" w:w="2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Marketing / creative</w:t>
            </w:r>
          </w:p>
        </w:tc>
        <w:tc>
          <w:tcPr>
            <w:tcW w:type="dxa" w:w="43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High churn, high volume, strong for content and city long tail.</w:t>
            </w:r>
          </w:p>
        </w:tc>
        <w:tc>
          <w:tcPr>
            <w:tcW w:type="dxa" w:w="27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Yes (marketing-agency)</w:t>
            </w:r>
          </w:p>
        </w:tc>
      </w:tr>
      <w:tr>
        <w:trPr>
          <w:tblHeader w:val="false"/>
        </w:trP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Banking / financial services</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Commercial lenders, wealth, compliance. High fee.</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Yes (finance)</w:t>
            </w:r>
          </w:p>
        </w:tc>
      </w:tr>
      <w:tr>
        <w:trPr>
          <w:tblHeader w:val="false"/>
        </w:trPr>
        <w:tc>
          <w:tcPr>
            <w:tcW w:type="dxa" w:w="2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Biotech / life sciences</w:t>
            </w:r>
          </w:p>
        </w:tc>
        <w:tc>
          <w:tcPr>
            <w:tcW w:type="dxa" w:w="43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Premium, regulated, R&amp;D talent. Low-competition, high-value.</w:t>
            </w:r>
          </w:p>
        </w:tc>
        <w:tc>
          <w:tcPr>
            <w:tcW w:type="dxa" w:w="27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No (net-new)</w:t>
            </w:r>
          </w:p>
        </w:tc>
      </w:tr>
      <w:tr>
        <w:trPr>
          <w:tblHeader w:val="false"/>
        </w:trPr>
        <w:tc>
          <w:tcPr>
            <w:tcW w:type="dxa" w:w="2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Manufacturing leadership</w:t>
            </w:r>
          </w:p>
        </w:tc>
        <w:tc>
          <w:tcPr>
            <w:tcW w:type="dxa" w:w="43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Plant managers, ops directors. Distinct from trades.</w:t>
            </w:r>
          </w:p>
        </w:tc>
        <w:tc>
          <w:tcPr>
            <w:tcW w:type="dxa" w:w="27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Yes (manufacturing blog)</w:t>
            </w:r>
          </w:p>
        </w:tc>
      </w:tr>
      <w:tr>
        <w:trPr>
          <w:tblHeader w:val="false"/>
        </w:trPr>
        <w:tc>
          <w:tcPr>
            <w:tcW w:type="dxa" w:w="2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Dental</w:t>
            </w:r>
          </w:p>
        </w:tc>
        <w:tc>
          <w:tcPr>
            <w:tcW w:type="dxa" w:w="43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DSO growth, associate dentists, specialists. Underserved niche.</w:t>
            </w:r>
          </w:p>
        </w:tc>
        <w:tc>
          <w:tcPr>
            <w:tcW w:type="dxa" w:w="27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Yes (dental blog)</w:t>
            </w:r>
          </w:p>
        </w:tc>
      </w:tr>
    </w:tbl>
    <w:p>
      <w:pPr>
        <w:pStyle w:val="Heading2"/>
      </w:pPr>
      <w:r>
        <w:t xml:space="preserve">Tier 3: build as we scale</w:t>
      </w:r>
    </w:p>
    <w:p>
      <w:pPr>
        <w:spacing w:after="120" w:line="276"/>
      </w:pPr>
      <w:r>
        <w:t xml:space="preserve">Nonprofit and association leadership, commercial real estate and property management, energy / oil and gas / renewables, architecture and design (AEC), hospitality (multi-unit and hotel GM), veterinary (acute shortage, and we already rank-build for vet payroll), and government / public-sector contractors. Each becomes a hub page plus a small cluster once Tier 1 and Tier 2 are established.</w:t>
      </w:r>
    </w:p>
    <w:p>
      <w:pPr>
        <w:spacing w:after="140" w:line="276"/>
      </w:pPr>
      <w:r>
        <w:rPr>
          <w:b/>
          <w:bCs/>
        </w:rPr>
        <w:t xml:space="preserve">Strategic note: </w:t>
      </w:r>
      <w:r>
        <w:t xml:space="preserve">most of these industries already have a managed-payroll page on beghr.com. Building the matching placement page lets us cross-link payroll and placement and HCM for the same industry, which compounds topical authority and gives every industry a two-service story no competitor can match.</w:t>
      </w:r>
    </w:p>
    <w:p>
      <w:pPr>
        <w:pBdr>
          <w:bottom w:val="single" w:color="ECAC60" w:sz="6" w:space="1"/>
        </w:pBdr>
        <w:spacing w:after="160"/>
      </w:pPr>
    </w:p>
    <w:p>
      <w:pPr>
        <w:pStyle w:val="Heading1"/>
      </w:pPr>
      <w:r>
        <w:t xml:space="preserve">4. High-Commercial-Intent Keyword Gaps</w:t>
      </w:r>
    </w:p>
    <w:p>
      <w:pPr>
        <w:spacing w:after="120" w:line="276"/>
      </w:pPr>
      <w:r>
        <w:t xml:space="preserve">Beyond the industry head terms, these are the keyword clusters that convert. They are organized by funnel stage. The cost and decision clusters are where DR 0 can win fastest and where our milestone message lands hardest.</w:t>
      </w:r>
    </w:p>
    <w:p>
      <w:pPr>
        <w:pStyle w:val="Heading2"/>
      </w:pPr>
      <w:r>
        <w:t xml:space="preserve">Cluster A: cost and decision queries (bottom of funnel, win first)</w:t>
      </w:r>
    </w:p>
    <w:p>
      <w:pPr>
        <w:pStyle w:val="ListParagraph"/>
        <w:numPr>
          <w:ilvl w:val="0"/>
          <w:numId w:val="2"/>
        </w:numPr>
        <w:spacing w:after="60" w:line="264"/>
      </w:pPr>
      <w:r>
        <w:t xml:space="preserve">how much do recruiters charge, recruiting fee percentage, placement fee calculator, what does executive search cost, how much do headhunters charge</w:t>
      </w:r>
    </w:p>
    <w:p>
      <w:pPr>
        <w:pStyle w:val="ListParagraph"/>
        <w:numPr>
          <w:ilvl w:val="0"/>
          <w:numId w:val="2"/>
        </w:numPr>
        <w:spacing w:after="60" w:line="264"/>
      </w:pPr>
      <w:r>
        <w:t xml:space="preserve">direct hire vs contingency, retained vs contingency vs milestone, RPO vs staffing agency, in-house recruiter vs agency</w:t>
      </w:r>
    </w:p>
    <w:p>
      <w:pPr>
        <w:pStyle w:val="ListParagraph"/>
        <w:numPr>
          <w:ilvl w:val="0"/>
          <w:numId w:val="2"/>
        </w:numPr>
        <w:spacing w:after="60" w:line="264"/>
      </w:pPr>
      <w:r>
        <w:t xml:space="preserve">permanent placement agency, direct hire staffing agency, should I use a recruiter to hire, how to choose a recruiting firm</w:t>
      </w:r>
    </w:p>
    <w:p>
      <w:pPr>
        <w:spacing w:after="140" w:line="276"/>
      </w:pPr>
      <w:r>
        <w:rPr>
          <w:b/>
          <w:bCs/>
        </w:rPr>
        <w:t xml:space="preserve">Why ours to take: </w:t>
      </w:r>
      <w:r>
        <w:t xml:space="preserve">the incumbents avoid publishing fee transparency because their model depends on opacity. Our milestone, roughly-50%-less position turns every one of these queries into a conversion page.</w:t>
      </w:r>
    </w:p>
    <w:p>
      <w:pPr>
        <w:pStyle w:val="Heading2"/>
      </w:pPr>
      <w:r>
        <w:t xml:space="preserve">Cluster B: problem and pain queries (middle of funnel)</w:t>
      </w:r>
    </w:p>
    <w:p>
      <w:pPr>
        <w:pStyle w:val="ListParagraph"/>
        <w:numPr>
          <w:ilvl w:val="0"/>
          <w:numId w:val="2"/>
        </w:numPr>
        <w:spacing w:after="60" w:line="264"/>
      </w:pPr>
      <w:r>
        <w:t xml:space="preserve">cost of an unfilled position, cost of a vacant role, cost of a bad hire, time to fill benchmarks by industry</w:t>
      </w:r>
    </w:p>
    <w:p>
      <w:pPr>
        <w:pStyle w:val="ListParagraph"/>
        <w:numPr>
          <w:ilvl w:val="0"/>
          <w:numId w:val="2"/>
        </w:numPr>
        <w:spacing w:after="60" w:line="264"/>
      </w:pPr>
      <w:r>
        <w:t xml:space="preserve">how long does it take to hire a [controller / associate attorney / nurse / software engineer]</w:t>
      </w:r>
    </w:p>
    <w:p>
      <w:pPr>
        <w:pStyle w:val="ListParagraph"/>
        <w:numPr>
          <w:ilvl w:val="0"/>
          <w:numId w:val="2"/>
        </w:numPr>
        <w:spacing w:after="60" w:line="264"/>
      </w:pPr>
      <w:r>
        <w:t xml:space="preserve">why can't I find [accountants / engineers / nurses], [role] shortage 2026, [industry] talent shortage</w:t>
      </w:r>
    </w:p>
    <w:p>
      <w:pPr>
        <w:pStyle w:val="Heading2"/>
      </w:pPr>
      <w:r>
        <w:t xml:space="preserve">Cluster C: role-level long tail (low difficulty, high intent, programmatic)</w:t>
      </w:r>
    </w:p>
    <w:p>
      <w:pPr>
        <w:pStyle w:val="ListParagraph"/>
        <w:numPr>
          <w:ilvl w:val="0"/>
          <w:numId w:val="2"/>
        </w:numPr>
        <w:spacing w:after="60" w:line="264"/>
      </w:pPr>
      <w:r>
        <w:t xml:space="preserve">controller recruiters, CFO search firm, VP of sales recruiters, general counsel search, CISO search firm, nurse practitioner recruiters, DevOps recruiters, plant manager recruiters, actuary recruiters, tax manager recruiters</w:t>
      </w:r>
    </w:p>
    <w:p>
      <w:pPr>
        <w:spacing w:after="120" w:line="276"/>
      </w:pPr>
      <w:r>
        <w:rPr>
          <w:i/>
          <w:iCs/>
          <w:color w:val="666666"/>
        </w:rPr>
        <w:t xml:space="preserve">Each priority industry yields 8-15 role pages. Twenty industries times a dozen roles is a few hundred low-competition, high-intent pages.</w:t>
      </w:r>
    </w:p>
    <w:p>
      <w:pPr>
        <w:pStyle w:val="Heading2"/>
      </w:pPr>
      <w:r>
        <w:t xml:space="preserve">Cluster D: industry-plus-city (the programmatic engine, mirrors the state pages)</w:t>
      </w:r>
    </w:p>
    <w:p>
      <w:pPr>
        <w:pStyle w:val="ListParagraph"/>
        <w:numPr>
          <w:ilvl w:val="0"/>
          <w:numId w:val="2"/>
        </w:numPr>
        <w:spacing w:after="60" w:line="264"/>
      </w:pPr>
      <w:r>
        <w:t xml:space="preserve">[industry] recruiters in [city]: "legal recruiters Dallas", "accounting recruiters Houston", "executive search firms Austin", "IT recruiters Phoenix"</w:t>
      </w:r>
    </w:p>
    <w:p>
      <w:pPr>
        <w:spacing w:after="120" w:line="276"/>
      </w:pPr>
      <w:r>
        <w:rPr>
          <w:i/>
          <w:iCs/>
          <w:color w:val="666666"/>
        </w:rPr>
        <w:t xml:space="preserve">Priority industries times the top 50 metros is the single largest block of winnable, geo-intent traffic. This is exactly the model already proven on the 50 managed-payroll state pages.</w:t>
      </w:r>
    </w:p>
    <w:p>
      <w:pPr>
        <w:pStyle w:val="Heading2"/>
      </w:pPr>
      <w:r>
        <w:t xml:space="preserve">Cluster E: salary and comp (top-of-funnel link and lead magnet)</w:t>
      </w:r>
    </w:p>
    <w:p>
      <w:pPr>
        <w:pStyle w:val="ListParagraph"/>
        <w:numPr>
          <w:ilvl w:val="0"/>
          <w:numId w:val="2"/>
        </w:numPr>
        <w:spacing w:after="60" w:line="264"/>
      </w:pPr>
      <w:r>
        <w:t xml:space="preserve">[role] salary 2026, [industry] salary guide, [role] compensation by city</w:t>
      </w:r>
    </w:p>
    <w:p>
      <w:pPr>
        <w:spacing w:after="140" w:line="276"/>
      </w:pPr>
      <w:r>
        <w:rPr>
          <w:b/>
          <w:bCs/>
        </w:rPr>
        <w:t xml:space="preserve">This is Robert Half's number-one traffic and link engine. </w:t>
      </w:r>
      <w:r>
        <w:t xml:space="preserve">A BEG salary and hiring guide, published as both an ungated HTML hub for SEO and a gated PDF for leads, is the highest-leverage asset in this whole plan. It is covered in section 6.</w:t>
      </w:r>
    </w:p>
    <w:p>
      <w:pPr>
        <w:spacing w:after="140" w:line="276"/>
      </w:pPr>
      <w:r>
        <w:rPr>
          <w:b/>
          <w:bCs/>
        </w:rPr>
        <w:t xml:space="preserve">Brand guardrail: </w:t>
      </w:r>
      <w:r>
        <w:t xml:space="preserve">we target placement, search, direct-hire, and recruiting terms. We are careful with "staffing agency" framing because we are not a staffing agency. The existing legal-staffing-vs-placement page shows the right way to use the term, by contrast, not by claim.</w:t>
      </w:r>
    </w:p>
    <w:p>
      <w:pPr>
        <w:pBdr>
          <w:bottom w:val="single" w:color="ECAC60" w:sz="6" w:space="1"/>
        </w:pBdr>
        <w:spacing w:after="160"/>
      </w:pPr>
    </w:p>
    <w:p>
      <w:pPr>
        <w:pStyle w:val="Heading1"/>
      </w:pPr>
      <w:r>
        <w:t xml:space="preserve">5. Top Five Competitor Comparison</w:t>
      </w:r>
    </w:p>
    <w:p>
      <w:pPr>
        <w:spacing w:after="120" w:line="276"/>
      </w:pPr>
      <w:r>
        <w:t xml:space="preserve">These are the realistic organic competitors for the terms we want, spanning each model (generalist, IT-staffing, finance, professional, and legal-niche). The point is not to match their authority. It is to find the content they leave on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850"/>
        <w:gridCol w:w="3300"/>
        <w:gridCol w:w="3460"/>
      </w:tblGrid>
      <w:tr>
        <w:trPr>
          <w:tblHeader/>
        </w:trPr>
        <w:tc>
          <w:tcPr>
            <w:tcW w:type="dxa" w:w="175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Competitor</w:t>
            </w:r>
          </w:p>
        </w:tc>
        <w:tc>
          <w:tcPr>
            <w:tcW w:type="dxa" w:w="85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center"/>
            </w:pPr>
            <w:r>
              <w:rPr>
                <w:b/>
                <w:bCs/>
              </w:rPr>
              <w:t xml:space="preserve">DR</w:t>
            </w:r>
          </w:p>
        </w:tc>
        <w:tc>
          <w:tcPr>
            <w:tcW w:type="dxa" w:w="330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Strength</w:t>
            </w:r>
          </w:p>
        </w:tc>
        <w:tc>
          <w:tcPr>
            <w:tcW w:type="dxa" w:w="346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Gap we exploit</w:t>
            </w:r>
          </w:p>
        </w:tc>
      </w:tr>
      <w:tr>
        <w:trPr>
          <w:tblHeader w:val="false"/>
        </w:trPr>
        <w:tc>
          <w:tcPr>
            <w:tcW w:type="dxa" w:w="17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Robert Half</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center"/>
            </w:pPr>
            <w:r>
              <w:t xml:space="preserve">83</w:t>
            </w:r>
          </w:p>
        </w:tc>
        <w:tc>
          <w:tcPr>
            <w:tcW w:type="dxa" w:w="3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Salary guides, brand, every industry</w:t>
            </w:r>
          </w:p>
        </w:tc>
        <w:tc>
          <w:tcPr>
            <w:tcW w:type="dxa" w:w="34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Generic and corporate. No milestone model. Weak on SMB and mid-market specific pain.</w:t>
            </w:r>
          </w:p>
        </w:tc>
      </w:tr>
      <w:tr>
        <w:trPr>
          <w:tblHeader w:val="false"/>
        </w:trPr>
        <w:tc>
          <w:tcPr>
            <w:tcW w:type="dxa" w:w="17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Insight Global</w:t>
            </w:r>
          </w:p>
        </w:tc>
        <w:tc>
          <w:tcPr>
            <w:tcW w:type="dxa" w:w="8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center"/>
            </w:pPr>
            <w:r>
              <w:t xml:space="preserve">72</w:t>
            </w:r>
          </w:p>
        </w:tc>
        <w:tc>
          <w:tcPr>
            <w:tcW w:type="dxa" w:w="3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IT and contract staffing volume</w:t>
            </w:r>
          </w:p>
        </w:tc>
        <w:tc>
          <w:tcPr>
            <w:tcW w:type="dxa" w:w="34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Staffing and contract focus, not permanent-placement guidance or cost transparency.</w:t>
            </w:r>
          </w:p>
        </w:tc>
      </w:tr>
      <w:tr>
        <w:trPr>
          <w:tblHeader w:val="false"/>
        </w:trPr>
        <w:tc>
          <w:tcPr>
            <w:tcW w:type="dxa" w:w="17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Vaco</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center"/>
            </w:pPr>
            <w:r>
              <w:t xml:space="preserve">60</w:t>
            </w:r>
          </w:p>
        </w:tc>
        <w:tc>
          <w:tcPr>
            <w:tcW w:type="dxa" w:w="3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Finance and accounting mid-market</w:t>
            </w:r>
          </w:p>
        </w:tc>
        <w:tc>
          <w:tcPr>
            <w:tcW w:type="dxa" w:w="34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Thin city-level and role-level content. No speed or guarantee message.</w:t>
            </w:r>
          </w:p>
        </w:tc>
      </w:tr>
      <w:tr>
        <w:trPr>
          <w:tblHeader w:val="false"/>
        </w:trPr>
        <w:tc>
          <w:tcPr>
            <w:tcW w:type="dxa" w:w="17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Michael Page</w:t>
            </w:r>
          </w:p>
        </w:tc>
        <w:tc>
          <w:tcPr>
            <w:tcW w:type="dxa" w:w="8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center"/>
            </w:pPr>
            <w:r>
              <w:t xml:space="preserve">58</w:t>
            </w:r>
          </w:p>
        </w:tc>
        <w:tc>
          <w:tcPr>
            <w:tcW w:type="dxa" w:w="330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Professional placement, salary guides</w:t>
            </w:r>
          </w:p>
        </w:tc>
        <w:tc>
          <w:tcPr>
            <w:tcW w:type="dxa" w:w="34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Built for job seekers more than hiring managers. Little decision-stage cost content.</w:t>
            </w:r>
          </w:p>
        </w:tc>
      </w:tr>
      <w:tr>
        <w:trPr>
          <w:tblHeader w:val="false"/>
        </w:trPr>
        <w:tc>
          <w:tcPr>
            <w:tcW w:type="dxa" w:w="17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Major, Lindsey &amp; Africa</w:t>
            </w:r>
          </w:p>
        </w:tc>
        <w:tc>
          <w:tcPr>
            <w:tcW w:type="dxa" w:w="8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center"/>
            </w:pPr>
            <w:r>
              <w:t xml:space="preserve">55</w:t>
            </w:r>
          </w:p>
        </w:tc>
        <w:tc>
          <w:tcPr>
            <w:tcW w:type="dxa" w:w="330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Legal specialist authority</w:t>
            </w:r>
          </w:p>
        </w:tc>
        <w:tc>
          <w:tcPr>
            <w:tcW w:type="dxa" w:w="34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Enterprise and Am Law focus. Ignores the 11-200 attorney mid-market we target.</w:t>
            </w:r>
          </w:p>
        </w:tc>
      </w:tr>
    </w:tbl>
    <w:p>
      <w:pPr>
        <w:pStyle w:val="Heading2"/>
      </w:pPr>
      <w:r>
        <w:t xml:space="preserve">The five content gaps we take from all of them</w:t>
      </w:r>
    </w:p>
    <w:p>
      <w:pPr>
        <w:pStyle w:val="ListParagraph"/>
        <w:numPr>
          <w:ilvl w:val="0"/>
          <w:numId w:val="3"/>
        </w:numPr>
        <w:spacing w:after="60" w:line="264"/>
      </w:pPr>
      <w:r>
        <w:t xml:space="preserve">Fee and cost transparency. Nobody markets what placement actually costs. We make roughly 50% less than contingency a published, calculator-backed claim.</w:t>
      </w:r>
    </w:p>
    <w:p>
      <w:pPr>
        <w:pStyle w:val="ListParagraph"/>
        <w:numPr>
          <w:ilvl w:val="0"/>
          <w:numId w:val="3"/>
        </w:numPr>
        <w:spacing w:after="60" w:line="264"/>
      </w:pPr>
      <w:r>
        <w:t xml:space="preserve">The milestone model. A category none of them occupy. We define it and own the term.</w:t>
      </w:r>
    </w:p>
    <w:p>
      <w:pPr>
        <w:pStyle w:val="ListParagraph"/>
        <w:numPr>
          <w:ilvl w:val="0"/>
          <w:numId w:val="3"/>
        </w:numPr>
        <w:spacing w:after="60" w:line="264"/>
      </w:pPr>
      <w:r>
        <w:t xml:space="preserve">Speed and guarantee proof. 23-35 days, 86% fill rate, 45-day replacement guarantee, 50% off a repeat hire for the same role. Concrete, repeatable, and absent from competitor pages.</w:t>
      </w:r>
    </w:p>
    <w:p>
      <w:pPr>
        <w:pStyle w:val="ListParagraph"/>
        <w:numPr>
          <w:ilvl w:val="0"/>
          <w:numId w:val="3"/>
        </w:numPr>
        <w:spacing w:after="60" w:line="264"/>
      </w:pPr>
      <w:r>
        <w:t xml:space="preserve">SMB and mid-market pain. The giants chase enterprise. We speak to the 11-200 attorney firm and the 20-200 person company that they treat as an afterthought.</w:t>
      </w:r>
    </w:p>
    <w:p>
      <w:pPr>
        <w:pStyle w:val="ListParagraph"/>
        <w:numPr>
          <w:ilvl w:val="0"/>
          <w:numId w:val="3"/>
        </w:numPr>
        <w:spacing w:after="60" w:line="264"/>
      </w:pPr>
      <w:r>
        <w:t xml:space="preserve">Industry-times-city long tail at scale. They have national pages. We build the local-intent grid they never bothered with.</w:t>
      </w:r>
    </w:p>
    <w:p>
      <w:pPr>
        <w:spacing w:after="140" w:line="276"/>
      </w:pPr>
      <w:r>
        <w:rPr>
          <w:b/>
          <w:bCs/>
        </w:rPr>
        <w:t xml:space="preserve">Cross-silo advantage: </w:t>
      </w:r>
      <w:r>
        <w:t xml:space="preserve">none of these five can offer payroll, HCM software, and placement for the same industry under one roof. That combined story is unique to BEG and should appear on every industry hub.</w:t>
      </w:r>
    </w:p>
    <w:p>
      <w:pPr>
        <w:pBdr>
          <w:bottom w:val="single" w:color="ECAC60" w:sz="6" w:space="1"/>
        </w:pBdr>
        <w:spacing w:after="160"/>
      </w:pPr>
    </w:p>
    <w:p>
      <w:pPr>
        <w:pStyle w:val="Heading1"/>
      </w:pPr>
      <w:r>
        <w:t xml:space="preserve">6. Resources and Lead Magnets Beyond Blog Posts</w:t>
      </w:r>
    </w:p>
    <w:p>
      <w:pPr>
        <w:spacing w:after="120" w:line="276"/>
      </w:pPr>
      <w:r>
        <w:t xml:space="preserve">This is the "I don't know what I don't know" section. Blog posts build topical reach. These assets capture demand, generate leads, and earn the links that lift our authority. Grouped by type, roughly in priority order.</w:t>
      </w:r>
    </w:p>
    <w:p>
      <w:pPr>
        <w:pStyle w:val="Heading2"/>
      </w:pPr>
      <w:r>
        <w:t xml:space="preserve">Data and report assets (the link and authority engine)</w:t>
      </w:r>
    </w:p>
    <w:p>
      <w:pPr>
        <w:pStyle w:val="ListParagraph"/>
        <w:numPr>
          <w:ilvl w:val="0"/>
          <w:numId w:val="3"/>
        </w:numPr>
        <w:spacing w:after="60" w:line="264"/>
      </w:pPr>
      <w:r>
        <w:rPr>
          <w:b/>
          <w:bCs/>
        </w:rPr>
        <w:t xml:space="preserve">BEG Salary and Hiring Guide, by industry (flagship). </w:t>
      </w:r>
      <w:r>
        <w:t xml:space="preserve">Robert Half's biggest link and traffic driver. Publish an ungated HTML hub for SEO plus a gated PDF for leads. Refresh annually. This is the single asset most likely to move our DR.</w:t>
      </w:r>
    </w:p>
    <w:p>
      <w:pPr>
        <w:pStyle w:val="ListParagraph"/>
        <w:numPr>
          <w:ilvl w:val="0"/>
          <w:numId w:val="3"/>
        </w:numPr>
        <w:spacing w:after="60" w:line="264"/>
      </w:pPr>
      <w:r>
        <w:rPr>
          <w:b/>
          <w:bCs/>
        </w:rPr>
        <w:t xml:space="preserve">Time-to-Fill Benchmark Report. </w:t>
      </w:r>
      <w:r>
        <w:t xml:space="preserve">Average days to fill by role and industry, positioned against our 23-35 day number. Proprietary-feeling, linkable, and it frames our core speed claim.</w:t>
      </w:r>
    </w:p>
    <w:p>
      <w:pPr>
        <w:pStyle w:val="ListParagraph"/>
        <w:numPr>
          <w:ilvl w:val="0"/>
          <w:numId w:val="3"/>
        </w:numPr>
        <w:spacing w:after="60" w:line="264"/>
      </w:pPr>
      <w:r>
        <w:rPr>
          <w:b/>
          <w:bCs/>
        </w:rPr>
        <w:t xml:space="preserve">Industry Talent Shortage Reports (2026). </w:t>
      </w:r>
      <w:r>
        <w:t xml:space="preserve">One per Tier 1 industry: the CPA shortage, the cybersecurity gap, the nursing crisis. Newsworthy, linkable, and a natural top of the funnel.</w:t>
      </w:r>
    </w:p>
    <w:p>
      <w:pPr>
        <w:pStyle w:val="Heading2"/>
      </w:pPr>
      <w:r>
        <w:t xml:space="preserve">Interactive tools (high intent, lead capture)</w:t>
      </w:r>
    </w:p>
    <w:p>
      <w:pPr>
        <w:pStyle w:val="ListParagraph"/>
        <w:numPr>
          <w:ilvl w:val="0"/>
          <w:numId w:val="3"/>
        </w:numPr>
        <w:spacing w:after="60" w:line="264"/>
      </w:pPr>
      <w:r>
        <w:rPr>
          <w:b/>
          <w:bCs/>
        </w:rPr>
        <w:t xml:space="preserve">Recruiting Fee Calculator. </w:t>
      </w:r>
      <w:r>
        <w:t xml:space="preserve">"What would contingency cost you, versus milestone." Weaponizes the roughly-50%-less stat directly. Mirrors the existing payroll cost-calculator pattern.</w:t>
      </w:r>
    </w:p>
    <w:p>
      <w:pPr>
        <w:pStyle w:val="ListParagraph"/>
        <w:numPr>
          <w:ilvl w:val="0"/>
          <w:numId w:val="3"/>
        </w:numPr>
        <w:spacing w:after="60" w:line="264"/>
      </w:pPr>
      <w:r>
        <w:rPr>
          <w:b/>
          <w:bCs/>
        </w:rPr>
        <w:t xml:space="preserve">Cost-of-a-Vacant-Role Calculator. </w:t>
      </w:r>
      <w:r>
        <w:t xml:space="preserve">Enter the salary and weeks open, see the lost output. Turns the pain into a number on the screen.</w:t>
      </w:r>
    </w:p>
    <w:p>
      <w:pPr>
        <w:pStyle w:val="ListParagraph"/>
        <w:numPr>
          <w:ilvl w:val="0"/>
          <w:numId w:val="3"/>
        </w:numPr>
        <w:spacing w:after="60" w:line="264"/>
      </w:pPr>
      <w:r>
        <w:rPr>
          <w:b/>
          <w:bCs/>
        </w:rPr>
        <w:t xml:space="preserve">"Is your search overdue?" diagnostic. </w:t>
      </w:r>
      <w:r>
        <w:t xml:space="preserve">A short quiz built on the 30-day open-role signal. Qualifies and captures the lead in one step. Fits the NEPQ approach.</w:t>
      </w:r>
    </w:p>
    <w:p>
      <w:pPr>
        <w:pStyle w:val="ListParagraph"/>
        <w:numPr>
          <w:ilvl w:val="0"/>
          <w:numId w:val="3"/>
        </w:numPr>
        <w:spacing w:after="60" w:line="264"/>
      </w:pPr>
      <w:r>
        <w:rPr>
          <w:b/>
          <w:bCs/>
        </w:rPr>
        <w:t xml:space="preserve">Job Description grader. </w:t>
      </w:r>
      <w:r>
        <w:t xml:space="preserve">Paste a JD, get feedback on why it is not attracting candidates. Useful, sticky, and a clean lead capture.</w:t>
      </w:r>
    </w:p>
    <w:p>
      <w:pPr>
        <w:pStyle w:val="Heading2"/>
      </w:pPr>
      <w:r>
        <w:t xml:space="preserve">Templates and toolkits (gated PDFs)</w:t>
      </w:r>
    </w:p>
    <w:p>
      <w:pPr>
        <w:pStyle w:val="ListParagraph"/>
        <w:numPr>
          <w:ilvl w:val="0"/>
          <w:numId w:val="3"/>
        </w:numPr>
        <w:spacing w:after="60" w:line="264"/>
      </w:pPr>
      <w:r>
        <w:rPr>
          <w:b/>
          <w:bCs/>
        </w:rPr>
        <w:t xml:space="preserve">Hiring Manager Toolkit: </w:t>
      </w:r>
      <w:r>
        <w:t xml:space="preserve">interview scorecards, JD templates by role, an offer-letter checklist, and a 30-60-90 onboarding plan.</w:t>
      </w:r>
    </w:p>
    <w:p>
      <w:pPr>
        <w:pStyle w:val="ListParagraph"/>
        <w:numPr>
          <w:ilvl w:val="0"/>
          <w:numId w:val="3"/>
        </w:numPr>
        <w:spacing w:after="60" w:line="264"/>
      </w:pPr>
      <w:r>
        <w:rPr>
          <w:b/>
          <w:bCs/>
        </w:rPr>
        <w:t xml:space="preserve">The 45-Day Search Playbook: </w:t>
      </w:r>
      <w:r>
        <w:t xml:space="preserve">how BEG fills roles fast. Positions the method and the guarantee.</w:t>
      </w:r>
    </w:p>
    <w:p>
      <w:pPr>
        <w:pStyle w:val="Heading2"/>
      </w:pPr>
      <w:r>
        <w:t xml:space="preserve">Placement case studies (conversion proof)</w:t>
      </w:r>
    </w:p>
    <w:p>
      <w:pPr>
        <w:spacing w:after="120" w:line="276"/>
      </w:pPr>
      <w:r>
        <w:t xml:space="preserve">The five live case studies are payroll-oriented (construction, franchise, healthcare, nonprofit, restaurant). We need placement case studies, one per priority industry, for example "How a 40-attorney firm filled a litigation associate seat in 31 days." Note: this needs real or representative, anonymized data. See the decisions section.</w:t>
      </w:r>
    </w:p>
    <w:p>
      <w:pPr>
        <w:pStyle w:val="Heading2"/>
      </w:pPr>
      <w:r>
        <w:t xml:space="preserve">Comparison and decision hubs (bottom of funnel)</w:t>
      </w:r>
    </w:p>
    <w:p>
      <w:pPr>
        <w:pStyle w:val="ListParagraph"/>
        <w:numPr>
          <w:ilvl w:val="0"/>
          <w:numId w:val="3"/>
        </w:numPr>
        <w:spacing w:after="60" w:line="264"/>
      </w:pPr>
      <w:r>
        <w:rPr>
          <w:b/>
          <w:bCs/>
        </w:rPr>
        <w:t xml:space="preserve">Expand the /blog/compare hub: </w:t>
      </w:r>
      <w:r>
        <w:t xml:space="preserve">direct hire vs contingency, in-house recruiter vs agency, retained vs milestone, RPO vs placement.</w:t>
      </w:r>
    </w:p>
    <w:p>
      <w:pPr>
        <w:pStyle w:val="ListParagraph"/>
        <w:numPr>
          <w:ilvl w:val="0"/>
          <w:numId w:val="3"/>
        </w:numPr>
        <w:spacing w:after="60" w:line="264"/>
      </w:pPr>
      <w:r>
        <w:rPr>
          <w:b/>
          <w:bCs/>
        </w:rPr>
        <w:t xml:space="preserve">Alternatives pages: </w:t>
      </w:r>
      <w:r>
        <w:t xml:space="preserve">"alternatives to contingency recruiting", "BEG vs traditional search firm". Mirrors the payroll alternatives-to-adp and managed-payroll-vs-gusto pages that already work.</w:t>
      </w:r>
    </w:p>
    <w:p>
      <w:pPr>
        <w:pStyle w:val="Heading2"/>
      </w:pPr>
      <w:r>
        <w:t xml:space="preserve">Multimedia and nurture</w:t>
      </w:r>
    </w:p>
    <w:p>
      <w:pPr>
        <w:pStyle w:val="ListParagraph"/>
        <w:numPr>
          <w:ilvl w:val="0"/>
          <w:numId w:val="3"/>
        </w:numPr>
        <w:spacing w:after="60" w:line="264"/>
      </w:pPr>
      <w:r>
        <w:rPr>
          <w:b/>
          <w:bCs/>
        </w:rPr>
        <w:t xml:space="preserve">Short industry explainer videos, </w:t>
      </w:r>
      <w:r>
        <w:t xml:space="preserve">mirroring the payroll video approach, embedded on each hub.</w:t>
      </w:r>
    </w:p>
    <w:p>
      <w:pPr>
        <w:pStyle w:val="ListParagraph"/>
        <w:numPr>
          <w:ilvl w:val="0"/>
          <w:numId w:val="3"/>
        </w:numPr>
        <w:spacing w:after="60" w:line="264"/>
      </w:pPr>
      <w:r>
        <w:rPr>
          <w:b/>
          <w:bCs/>
        </w:rPr>
        <w:t xml:space="preserve">A five-day hiring-acceleration email course, </w:t>
      </w:r>
      <w:r>
        <w:t xml:space="preserve">for lead nurture, written in the NEPQ voice.</w:t>
      </w:r>
    </w:p>
    <w:p>
      <w:pPr>
        <w:pBdr>
          <w:bottom w:val="single" w:color="ECAC60" w:sz="6" w:space="1"/>
        </w:pBdr>
        <w:spacing w:after="160"/>
      </w:pPr>
    </w:p>
    <w:p>
      <w:pPr>
        <w:pStyle w:val="Heading1"/>
      </w:pPr>
      <w:r>
        <w:t xml:space="preserve">7. The Domination Architecture</w:t>
      </w:r>
    </w:p>
    <w:p>
      <w:pPr>
        <w:spacing w:after="120" w:line="276"/>
      </w:pPr>
      <w:r>
        <w:t xml:space="preserve">Everything above fits one structure, which mirrors the proven managed-payroll build (50 states times 33 industries) and reuses the existing components. No new framework, just more surface area and the lead-magnet layer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050"/>
        <w:gridCol w:w="3560"/>
      </w:tblGrid>
      <w:tr>
        <w:trPr>
          <w:tblHeader/>
        </w:trPr>
        <w:tc>
          <w:tcPr>
            <w:tcW w:type="dxa" w:w="275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Layer</w:t>
            </w:r>
          </w:p>
        </w:tc>
        <w:tc>
          <w:tcPr>
            <w:tcW w:type="dxa" w:w="305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Pattern</w:t>
            </w:r>
          </w:p>
        </w:tc>
        <w:tc>
          <w:tcPr>
            <w:tcW w:type="dxa" w:w="3560"/>
            <w:tcBorders>
              <w:top w:val="single" w:color="DDDDDD" w:sz="1"/>
              <w:left w:val="single" w:color="DDDDDD" w:sz="1"/>
              <w:bottom w:val="single" w:color="DDDDDD" w:sz="1"/>
              <w:right w:val="single" w:color="DDDDDD" w:sz="1"/>
            </w:tcBorders>
            <w:shd w:fill="ECAC60" w:val="clear"/>
            <w:tcMar>
              <w:top w:type="dxa" w:w="70"/>
              <w:left w:type="dxa" w:w="110"/>
              <w:bottom w:type="dxa" w:w="70"/>
              <w:right w:type="dxa" w:w="110"/>
            </w:tcMar>
          </w:tcPr>
          <w:p>
            <w:pPr>
              <w:jc w:val="left"/>
            </w:pPr>
            <w:r>
              <w:rPr>
                <w:b/>
                <w:bCs/>
                <w:color w:val="000000"/>
                <w:sz w:val="19"/>
                <w:szCs w:val="19"/>
              </w:rPr>
              <w:t xml:space="preserve">Scale target</w:t>
            </w:r>
          </w:p>
        </w:tc>
      </w:tr>
      <w:tr>
        <w:trPr>
          <w:tblHeader w:val="false"/>
        </w:trPr>
        <w:tc>
          <w:tcPr>
            <w:tcW w:type="dxa" w:w="27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Industry hubs</w:t>
            </w:r>
          </w:p>
        </w:tc>
        <w:tc>
          <w:tcPr>
            <w:tcW w:type="dxa" w:w="30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/services/job-placement/[industry]</w:t>
            </w:r>
          </w:p>
        </w:tc>
        <w:tc>
          <w:tcPr>
            <w:tcW w:type="dxa" w:w="3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Expand 7 to ~20</w:t>
            </w:r>
          </w:p>
        </w:tc>
      </w:tr>
      <w:tr>
        <w:trPr>
          <w:tblHeader w:val="false"/>
        </w:trPr>
        <w:tc>
          <w:tcPr>
            <w:tcW w:type="dxa" w:w="27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Role pages</w:t>
            </w:r>
          </w:p>
        </w:tc>
        <w:tc>
          <w:tcPr>
            <w:tcW w:type="dxa" w:w="30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/services/job-placement/[industry]/[role]</w:t>
            </w:r>
          </w:p>
        </w:tc>
        <w:tc>
          <w:tcPr>
            <w:tcW w:type="dxa" w:w="35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8-15 per industry</w:t>
            </w:r>
          </w:p>
        </w:tc>
      </w:tr>
      <w:tr>
        <w:trPr>
          <w:tblHeader w:val="false"/>
        </w:trPr>
        <w:tc>
          <w:tcPr>
            <w:tcW w:type="dxa" w:w="27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Industry-plus-city</w:t>
            </w:r>
          </w:p>
        </w:tc>
        <w:tc>
          <w:tcPr>
            <w:tcW w:type="dxa" w:w="30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/services/job-placement/[industry]/[city]</w:t>
            </w:r>
          </w:p>
        </w:tc>
        <w:tc>
          <w:tcPr>
            <w:tcW w:type="dxa" w:w="3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Priority industries x top 50 metros</w:t>
            </w:r>
          </w:p>
        </w:tc>
      </w:tr>
      <w:tr>
        <w:trPr>
          <w:tblHeader w:val="false"/>
        </w:trPr>
        <w:tc>
          <w:tcPr>
            <w:tcW w:type="dxa" w:w="27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Blog clusters</w:t>
            </w:r>
          </w:p>
        </w:tc>
        <w:tc>
          <w:tcPr>
            <w:tcW w:type="dxa" w:w="30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/blog/[industry]-hiring/[topic]</w:t>
            </w:r>
          </w:p>
        </w:tc>
        <w:tc>
          <w:tcPr>
            <w:tcW w:type="dxa" w:w="35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Replicate the 5-post legal model per Tier 1 industry</w:t>
            </w:r>
          </w:p>
        </w:tc>
      </w:tr>
      <w:tr>
        <w:trPr>
          <w:tblHeader w:val="false"/>
        </w:trPr>
        <w:tc>
          <w:tcPr>
            <w:tcW w:type="dxa" w:w="27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Decision hub</w:t>
            </w:r>
          </w:p>
        </w:tc>
        <w:tc>
          <w:tcPr>
            <w:tcW w:type="dxa" w:w="305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/blog/compare/[decision]</w:t>
            </w:r>
          </w:p>
        </w:tc>
        <w:tc>
          <w:tcPr>
            <w:tcW w:type="dxa" w:w="3560"/>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tcPr>
          <w:p>
            <w:pPr>
              <w:jc w:val="left"/>
            </w:pPr>
            <w:r>
              <w:rPr>
                <w:b w:val="false"/>
                <w:bCs w:val="false"/>
                <w:color w:val="1A1A1A"/>
                <w:sz w:val="19"/>
                <w:szCs w:val="19"/>
              </w:rPr>
              <w:t xml:space="preserve">Expand from 3 to ~10</w:t>
            </w:r>
          </w:p>
        </w:tc>
      </w:tr>
      <w:tr>
        <w:trPr>
          <w:tblHeader w:val="false"/>
        </w:trPr>
        <w:tc>
          <w:tcPr>
            <w:tcW w:type="dxa" w:w="27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Resource hub</w:t>
            </w:r>
          </w:p>
        </w:tc>
        <w:tc>
          <w:tcPr>
            <w:tcW w:type="dxa" w:w="305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/resources/[guide | calculator | report]</w:t>
            </w:r>
          </w:p>
        </w:tc>
        <w:tc>
          <w:tcPr>
            <w:tcW w:type="dxa" w:w="3560"/>
            <w:tcBorders>
              <w:top w:val="single" w:color="DDDDDD" w:sz="1"/>
              <w:left w:val="single" w:color="DDDDDD" w:sz="1"/>
              <w:bottom w:val="single" w:color="DDDDDD" w:sz="1"/>
              <w:right w:val="single" w:color="DDDDDD" w:sz="1"/>
            </w:tcBorders>
            <w:shd w:fill="FBF3E8" w:val="clear"/>
            <w:tcMar>
              <w:top w:type="dxa" w:w="70"/>
              <w:left w:type="dxa" w:w="110"/>
              <w:bottom w:type="dxa" w:w="70"/>
              <w:right w:type="dxa" w:w="110"/>
            </w:tcMar>
          </w:tcPr>
          <w:p>
            <w:pPr>
              <w:jc w:val="left"/>
            </w:pPr>
            <w:r>
              <w:rPr>
                <w:b w:val="false"/>
                <w:bCs w:val="false"/>
                <w:color w:val="1A1A1A"/>
                <w:sz w:val="19"/>
                <w:szCs w:val="19"/>
              </w:rPr>
              <w:t xml:space="preserve">Salary guides, calculators, toolkits, reports</w:t>
            </w:r>
          </w:p>
        </w:tc>
      </w:tr>
    </w:tbl>
    <w:p>
      <w:pPr>
        <w:spacing w:after="140" w:line="276"/>
      </w:pPr>
      <w:r>
        <w:rPr>
          <w:b/>
          <w:bCs/>
        </w:rPr>
        <w:t xml:space="preserve">The connective tissue: </w:t>
      </w:r>
      <w:r>
        <w:t xml:space="preserve">internal linking and cross-silo links. Every industry hub links to its payroll and HCM counterparts, its role and city pages, its blog cluster, and the relevant lead magnet. That density is what turns a pile of pages into topical authority.</w:t>
      </w:r>
    </w:p>
    <w:p>
      <w:pPr>
        <w:pBdr>
          <w:bottom w:val="single" w:color="ECAC60" w:sz="6" w:space="1"/>
        </w:pBdr>
        <w:spacing w:after="160"/>
      </w:pPr>
    </w:p>
    <w:p>
      <w:pPr>
        <w:pStyle w:val="Heading1"/>
      </w:pPr>
      <w:r>
        <w:t xml:space="preserve">8. The 90-Day Roadmap</w:t>
      </w:r>
    </w:p>
    <w:p>
      <w:pPr>
        <w:spacing w:after="120" w:line="276"/>
      </w:pPr>
      <w:r>
        <w:t xml:space="preserve">Sequenced to respect the runway: legal stays the priority, the highest-fee Tier 1 industries come next, and the conversion assets (calculator, salary guide) ship early so the new traffic has somewhere to convert.</w:t>
      </w:r>
    </w:p>
    <w:p>
      <w:pPr>
        <w:pStyle w:val="Heading2"/>
      </w:pPr>
      <w:r>
        <w:t xml:space="preserve">Phase 1, days 0-30: convert the traffic we can win now</w:t>
      </w:r>
    </w:p>
    <w:p>
      <w:pPr>
        <w:pStyle w:val="ListParagraph"/>
        <w:numPr>
          <w:ilvl w:val="0"/>
          <w:numId w:val="2"/>
        </w:numPr>
        <w:spacing w:after="60" w:line="264"/>
      </w:pPr>
      <w:r>
        <w:t xml:space="preserve">Finish legal dominance: add role pages (litigation associate, partner, paralegal, general counsel) and 2-3 legal city pages for top metros.</w:t>
      </w:r>
    </w:p>
    <w:p>
      <w:pPr>
        <w:pStyle w:val="ListParagraph"/>
        <w:numPr>
          <w:ilvl w:val="0"/>
          <w:numId w:val="2"/>
        </w:numPr>
        <w:spacing w:after="60" w:line="264"/>
      </w:pPr>
      <w:r>
        <w:t xml:space="preserve">Build 3 Tier 1 hubs: accounting/CPA, sales, cybersecurity, each on the ServicePage framework with a full pain and market-context section.</w:t>
      </w:r>
    </w:p>
    <w:p>
      <w:pPr>
        <w:pStyle w:val="ListParagraph"/>
        <w:numPr>
          <w:ilvl w:val="0"/>
          <w:numId w:val="2"/>
        </w:numPr>
        <w:spacing w:after="60" w:line="264"/>
      </w:pPr>
      <w:r>
        <w:t xml:space="preserve">Ship the Recruiting Fee Calculator and the Cost-of-a-Vacant-Role calculator.</w:t>
      </w:r>
    </w:p>
    <w:p>
      <w:pPr>
        <w:pStyle w:val="ListParagraph"/>
        <w:numPr>
          <w:ilvl w:val="0"/>
          <w:numId w:val="2"/>
        </w:numPr>
        <w:spacing w:after="60" w:line="264"/>
      </w:pPr>
      <w:r>
        <w:t xml:space="preserve">Expand the /blog/compare hub with direct-hire-vs-contingency and how-much-recruiters-charge.</w:t>
      </w:r>
    </w:p>
    <w:p>
      <w:pPr>
        <w:pStyle w:val="Heading2"/>
      </w:pPr>
      <w:r>
        <w:t xml:space="preserve">Phase 2, days 30-60: scale the engine</w:t>
      </w:r>
    </w:p>
    <w:p>
      <w:pPr>
        <w:pStyle w:val="ListParagraph"/>
        <w:numPr>
          <w:ilvl w:val="0"/>
          <w:numId w:val="2"/>
        </w:numPr>
        <w:spacing w:after="60" w:line="264"/>
      </w:pPr>
      <w:r>
        <w:t xml:space="preserve">Build remaining Tier 1 hubs (insurance, HR/people ops, construction management) plus the first Tier 2 hubs.</w:t>
      </w:r>
    </w:p>
    <w:p>
      <w:pPr>
        <w:pStyle w:val="ListParagraph"/>
        <w:numPr>
          <w:ilvl w:val="0"/>
          <w:numId w:val="2"/>
        </w:numPr>
        <w:spacing w:after="60" w:line="264"/>
      </w:pPr>
      <w:r>
        <w:t xml:space="preserve">Launch the industry-plus-city programmatic grid for the top 25 metros across the live industries.</w:t>
      </w:r>
    </w:p>
    <w:p>
      <w:pPr>
        <w:pStyle w:val="ListParagraph"/>
        <w:numPr>
          <w:ilvl w:val="0"/>
          <w:numId w:val="2"/>
        </w:numPr>
        <w:spacing w:after="60" w:line="264"/>
      </w:pPr>
      <w:r>
        <w:t xml:space="preserve">Publish the flagship Salary and Hiring Guide (HTML hub plus gated PDF) for the first 3 industries.</w:t>
      </w:r>
    </w:p>
    <w:p>
      <w:pPr>
        <w:pStyle w:val="ListParagraph"/>
        <w:numPr>
          <w:ilvl w:val="0"/>
          <w:numId w:val="2"/>
        </w:numPr>
        <w:spacing w:after="60" w:line="264"/>
      </w:pPr>
      <w:r>
        <w:t xml:space="preserve">Add the "Is your search overdue?" diagnostic and the Job Description grader.</w:t>
      </w:r>
    </w:p>
    <w:p>
      <w:pPr>
        <w:pStyle w:val="Heading2"/>
      </w:pPr>
      <w:r>
        <w:t xml:space="preserve">Phase 3, days 60-90 and beyond: authority and coverage</w:t>
      </w:r>
    </w:p>
    <w:p>
      <w:pPr>
        <w:pStyle w:val="ListParagraph"/>
        <w:numPr>
          <w:ilvl w:val="0"/>
          <w:numId w:val="2"/>
        </w:numPr>
        <w:spacing w:after="60" w:line="264"/>
      </w:pPr>
      <w:r>
        <w:t xml:space="preserve">Build Tier 2 and Tier 3 hubs and the role-level long tail across all live industries.</w:t>
      </w:r>
    </w:p>
    <w:p>
      <w:pPr>
        <w:pStyle w:val="ListParagraph"/>
        <w:numPr>
          <w:ilvl w:val="0"/>
          <w:numId w:val="2"/>
        </w:numPr>
        <w:spacing w:after="60" w:line="264"/>
      </w:pPr>
      <w:r>
        <w:t xml:space="preserve">Expand the city grid to the top 50 metros, publish the full salary-guide library, and run link outreach off the data assets to lift DR.</w:t>
      </w:r>
    </w:p>
    <w:p>
      <w:pPr>
        <w:pStyle w:val="ListParagraph"/>
        <w:numPr>
          <w:ilvl w:val="0"/>
          <w:numId w:val="2"/>
        </w:numPr>
        <w:spacing w:after="60" w:line="264"/>
      </w:pPr>
      <w:r>
        <w:t xml:space="preserve">Produce placement case studies per industry and the industry talent-shortage reports.</w:t>
      </w:r>
    </w:p>
    <w:p>
      <w:pPr>
        <w:pBdr>
          <w:bottom w:val="single" w:color="ECAC60" w:sz="6" w:space="1"/>
        </w:pBdr>
        <w:spacing w:after="160"/>
      </w:pPr>
    </w:p>
    <w:p>
      <w:pPr>
        <w:pStyle w:val="Heading1"/>
      </w:pPr>
      <w:r>
        <w:t xml:space="preserve">9. Decisions I Need From You</w:t>
      </w:r>
    </w:p>
    <w:p>
      <w:pPr>
        <w:spacing w:after="120" w:line="276"/>
      </w:pPr>
      <w:r>
        <w:t xml:space="preserve">None of these block me from starting on the highest-priority pages, but your answers shape the build. I will start scaffolding Phase 1 in the meantime.</w:t>
      </w:r>
    </w:p>
    <w:p>
      <w:pPr>
        <w:pStyle w:val="ListParagraph"/>
        <w:numPr>
          <w:ilvl w:val="0"/>
          <w:numId w:val="3"/>
        </w:numPr>
        <w:spacing w:after="60" w:line="264"/>
      </w:pPr>
      <w:r>
        <w:rPr>
          <w:b/>
          <w:bCs/>
        </w:rPr>
        <w:t xml:space="preserve">Salary-guide data source. </w:t>
      </w:r>
      <w:r>
        <w:t xml:space="preserve">Do we build the salary guide from public data (BLS, job-posting aggregates) plus isolved insights, or do you have access to proprietary comp data we can cite? This decides how authoritative and link-worthy the flagship asset can be.</w:t>
      </w:r>
    </w:p>
    <w:p>
      <w:pPr>
        <w:pStyle w:val="ListParagraph"/>
        <w:numPr>
          <w:ilvl w:val="0"/>
          <w:numId w:val="3"/>
        </w:numPr>
        <w:spacing w:after="60" w:line="264"/>
      </w:pPr>
      <w:r>
        <w:rPr>
          <w:b/>
          <w:bCs/>
        </w:rPr>
        <w:t xml:space="preserve">Placement case studies. </w:t>
      </w:r>
      <w:r>
        <w:t xml:space="preserve">Can we use real, anonymized placements, or should the first round be representative composites clearly framed as illustrative until we have closed placements to feature?</w:t>
      </w:r>
    </w:p>
    <w:p>
      <w:pPr>
        <w:pStyle w:val="ListParagraph"/>
        <w:numPr>
          <w:ilvl w:val="0"/>
          <w:numId w:val="3"/>
        </w:numPr>
        <w:spacing w:after="60" w:line="264"/>
      </w:pPr>
      <w:r>
        <w:rPr>
          <w:b/>
          <w:bCs/>
        </w:rPr>
        <w:t xml:space="preserve">City-grid priority metros. </w:t>
      </w:r>
      <w:r>
        <w:t xml:space="preserve">Default is the top 50 US metros by population. Do you want DFW and Texas weighted to the front for faster local traction, or pure national?</w:t>
      </w:r>
    </w:p>
    <w:p>
      <w:pPr>
        <w:pStyle w:val="ListParagraph"/>
        <w:numPr>
          <w:ilvl w:val="0"/>
          <w:numId w:val="3"/>
        </w:numPr>
        <w:spacing w:after="60" w:line="264"/>
      </w:pPr>
      <w:r>
        <w:rPr>
          <w:b/>
          <w:bCs/>
        </w:rPr>
        <w:t xml:space="preserve">Tier 1 confirmation. </w:t>
      </w:r>
      <w:r>
        <w:t xml:space="preserve">I have accounting/CPA, sales, cybersecurity, insurance, HR, and construction management as the first six. Any you want swapped based on where the placement fees are richest for us?</w:t>
      </w:r>
    </w:p>
    <w:p>
      <w:pPr>
        <w:pStyle w:val="ListParagraph"/>
        <w:numPr>
          <w:ilvl w:val="0"/>
          <w:numId w:val="3"/>
        </w:numPr>
        <w:spacing w:after="60" w:line="264"/>
      </w:pPr>
      <w:r>
        <w:rPr>
          <w:b/>
          <w:bCs/>
        </w:rPr>
        <w:t xml:space="preserve">Lead capture and gating. </w:t>
      </w:r>
      <w:r>
        <w:t xml:space="preserve">Gated PDFs need a form and a destination. Confirm we route leads through the Calendly discovery-call flow and capture the email, or whether you want a separate form tool.</w:t>
      </w:r>
    </w:p>
    <w:p>
      <w:pPr>
        <w:spacing w:after="40"/>
      </w:pPr>
    </w:p>
    <w:p>
      <w:pPr>
        <w:spacing w:after="140" w:line="276"/>
      </w:pPr>
      <w:r>
        <w:rPr>
          <w:b/>
          <w:bCs/>
        </w:rPr>
        <w:t xml:space="preserve">Guardrails honored in this plan: </w:t>
      </w:r>
      <w:r>
        <w:t xml:space="preserve">no em-dashes anywhere; cost stat is always roughly 50% less; we are a milestone-based placement service, not a staffing agency; isolved stays lowercase; nothing here goes live or gets sent without your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  Business Executive Group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BEG  |  Job Placement SEO Domination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CAC60"/>
      </w:r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CAC60" w:sz="8" w:space="4"/>
      </w:pBdr>
      <w:spacing w:after="160" w:before="320"/>
      <w:outlineLvl w:val="0"/>
    </w:pPr>
    <w:rPr>
      <w:rFonts w:ascii="Arial" w:cs="Arial" w:eastAsia="Arial" w:hAnsi="Arial"/>
      <w:b/>
      <w:bCs/>
      <w:color w:val="000000"/>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60"/>
      <w:outlineLvl w:val="2"/>
    </w:pPr>
    <w:rPr>
      <w:rFonts w:ascii="Arial" w:cs="Arial" w:eastAsia="Arial" w:hAnsi="Arial"/>
      <w:b/>
      <w:bCs/>
      <w:color w:val="ECAC6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2026-06-28T13:55:24.628Z</dcterms:created>
  <dcterms:modified xsi:type="dcterms:W3CDTF">2026-06-28T13:55:24.628Z</dcterms:modified>
</cp:coreProperties>
</file>

<file path=docProps/custom.xml><?xml version="1.0" encoding="utf-8"?>
<Properties xmlns="http://schemas.openxmlformats.org/officeDocument/2006/custom-properties" xmlns:vt="http://schemas.openxmlformats.org/officeDocument/2006/docPropsVTypes"/>
</file>