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700"/>
        <w:jc w:val="center"/>
      </w:pPr>
      <w:r>
        <w:rPr>
          <w:b/>
          <w:bCs/>
          <w:color w:val="666666"/>
          <w:sz w:val="26"/>
          <w:szCs w:val="26"/>
        </w:rPr>
        <w:t xml:space="preserve">BUSINESS EXECUTIVE GROUP</w:t>
      </w:r>
    </w:p>
    <w:p>
      <w:pPr>
        <w:spacing w:after="460"/>
        <w:jc w:val="center"/>
      </w:pPr>
      <w:r>
        <w:rPr>
          <w:b/>
          <w:bCs/>
          <w:color w:val="ECAC60"/>
          <w:sz w:val="22"/>
          <w:szCs w:val="22"/>
        </w:rPr>
        <w:t xml:space="preserve">beghr.com</w:t>
      </w:r>
    </w:p>
    <w:p>
      <w:pPr>
        <w:spacing w:after="120"/>
        <w:jc w:val="center"/>
      </w:pPr>
      <w:r>
        <w:rPr>
          <w:b/>
          <w:bCs/>
          <w:sz w:val="44"/>
          <w:szCs w:val="44"/>
        </w:rPr>
        <w:t xml:space="preserve">Building Domain Authority on a Budget</w:t>
      </w:r>
    </w:p>
    <w:p>
      <w:pPr>
        <w:spacing w:after="520"/>
        <w:jc w:val="center"/>
      </w:pPr>
      <w:r>
        <w:rPr>
          <w:i/>
          <w:iCs/>
          <w:color w:val="666666"/>
          <w:sz w:val="24"/>
          <w:szCs w:val="24"/>
        </w:rPr>
        <w:t xml:space="preserve">The $0 Playbook, Plus Budget Tiers and Expected Returns</w:t>
      </w:r>
    </w:p>
    <w:p>
      <w:pPr>
        <w:spacing w:after="50"/>
        <w:jc w:val="center"/>
      </w:pPr>
      <w:r>
        <w:rPr>
          <w:sz w:val="22"/>
          <w:szCs w:val="22"/>
        </w:rPr>
        <w:t xml:space="preserve">Prepared by Claude for Anthony Moretti</w:t>
      </w:r>
    </w:p>
    <w:p>
      <w:pPr>
        <w:jc w:val="center"/>
      </w:pPr>
      <w:r>
        <w:rPr>
          <w:color w:val="666666"/>
          <w:sz w:val="20"/>
          <w:szCs w:val="20"/>
        </w:rPr>
        <w:t xml:space="preserve">June 28, 2026  |  CONFIDENTIAL</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The Core Idea</w:t>
      </w:r>
    </w:p>
    <w:p>
      <w:pPr>
        <w:spacing w:after="150" w:line="274"/>
      </w:pPr>
      <w:r>
        <w:rPr>
          <w:b/>
          <w:bCs/>
        </w:rPr>
        <w:t xml:space="preserve">Domain authority is mostly a backlink problem. </w:t>
      </w:r>
      <w:r>
        <w:t xml:space="preserve">Search engines treat links from other websites as votes of trust. Ahrefs measures this as Domain Rating (DR), a 0 to 100 score, and it is the single best predictor of whether a site can rank for competitive terms. beghr.com is currently DR 0. The competitors you are chasing sit between 71 and 91. That gap, not your content, is the ceiling on how high you rank for the biggest terms.</w:t>
      </w:r>
    </w:p>
    <w:p>
      <w:pPr>
        <w:spacing w:after="150" w:line="274"/>
      </w:pPr>
      <w:r>
        <w:t xml:space="preserve">The good news: the content is largely built. The HCM silo now has roughly 74 pages and three interactive tools. Those pages will rank for long-tail, low-competition terms even at DR 0. To unlock the higher-volume, higher-value terms, the job now is to earn links and raise DR. This document is how to do that, starting at zero dollars and scaling as budget allows.</w:t>
      </w:r>
    </w:p>
    <w:p>
      <w:pPr>
        <w:spacing w:after="150" w:line="274"/>
      </w:pPr>
      <w:r>
        <w:rPr>
          <w:b/>
          <w:bCs/>
        </w:rPr>
        <w:t xml:space="preserve">One honest framing on timing. </w:t>
      </w:r>
      <w:r>
        <w:t xml:space="preserve">Authority compounds slowly, over months, not weeks. With a short cash runway, the right near-term move is the free work in Phase 0 plus closing your first revenue. Treat the paid tiers as a roadmap to switch on as revenue arrives.</w:t>
      </w:r>
    </w:p>
    <w:p>
      <w:pPr>
        <w:pStyle w:val="Heading1"/>
      </w:pPr>
      <w:r>
        <w:t xml:space="preserve">2. Ground Rules (True at Every Budget)</w:t>
      </w:r>
    </w:p>
    <w:p>
      <w:pPr>
        <w:pStyle w:val="ListParagraph"/>
        <w:numPr>
          <w:ilvl w:val="0"/>
          <w:numId w:val="2"/>
        </w:numPr>
        <w:spacing w:after="70" w:line="268"/>
      </w:pPr>
      <w:r>
        <w:rPr>
          <w:b/>
          <w:bCs/>
        </w:rPr>
        <w:t xml:space="preserve">Relevance and quality beat volume. </w:t>
      </w:r>
      <w:r>
        <w:t xml:space="preserve">One link from an HR, payroll, or DFW business site is worth more than fifty generic ones.</w:t>
      </w:r>
    </w:p>
    <w:p>
      <w:pPr>
        <w:pStyle w:val="ListParagraph"/>
        <w:numPr>
          <w:ilvl w:val="0"/>
          <w:numId w:val="2"/>
        </w:numPr>
        <w:spacing w:after="70" w:line="268"/>
      </w:pPr>
      <w:r>
        <w:rPr>
          <w:b/>
          <w:bCs/>
        </w:rPr>
        <w:t xml:space="preserve">Earn or ask, never buy spam. </w:t>
      </w:r>
      <w:r>
        <w:t xml:space="preserve">Cheap bulk links and link farms get sites penalized. Avoid them at any price (see Section 4).</w:t>
      </w:r>
    </w:p>
    <w:p>
      <w:pPr>
        <w:pStyle w:val="ListParagraph"/>
        <w:numPr>
          <w:ilvl w:val="0"/>
          <w:numId w:val="2"/>
        </w:numPr>
        <w:spacing w:after="70" w:line="268"/>
      </w:pPr>
      <w:r>
        <w:rPr>
          <w:b/>
          <w:bCs/>
        </w:rPr>
        <w:t xml:space="preserve">Links are a byproduct of being useful and visible. </w:t>
      </w:r>
      <w:r>
        <w:t xml:space="preserve">Tools, data, and expert commentary attract links. Pure link-begging does not scale.</w:t>
      </w:r>
    </w:p>
    <w:p>
      <w:pPr>
        <w:pStyle w:val="ListParagraph"/>
        <w:numPr>
          <w:ilvl w:val="0"/>
          <w:numId w:val="2"/>
        </w:numPr>
        <w:spacing w:after="70" w:line="268"/>
      </w:pPr>
      <w:r>
        <w:rPr>
          <w:b/>
          <w:bCs/>
        </w:rPr>
        <w:t xml:space="preserve">Authority is domain-wide. </w:t>
      </w:r>
      <w:r>
        <w:t xml:space="preserve">Every link lifts the whole site, so HCM, payroll, and job placement all benefit. We frame this around HCM, but the gains are shared.</w:t>
      </w:r>
    </w:p>
    <w:p>
      <w:pPr>
        <w:pStyle w:val="ListParagraph"/>
        <w:numPr>
          <w:ilvl w:val="0"/>
          <w:numId w:val="2"/>
        </w:numPr>
        <w:spacing w:after="70" w:line="268"/>
      </w:pPr>
      <w:r>
        <w:rPr>
          <w:b/>
          <w:bCs/>
        </w:rPr>
        <w:t xml:space="preserve">Track referring domains, not just DR. </w:t>
      </w:r>
      <w:r>
        <w:t xml:space="preserve">New referring domains is the leading indicator. DR follows.</w:t>
      </w:r>
    </w:p>
    <w:p>
      <w:r>
        <w:br w:type="page"/>
      </w:r>
    </w:p>
    <w:p>
      <w:pPr>
        <w:pStyle w:val="Heading1"/>
      </w:pPr>
      <w:r>
        <w:t xml:space="preserve">3. Phase 0: The $0 Playbook</w:t>
      </w:r>
    </w:p>
    <w:p>
      <w:pPr>
        <w:spacing w:after="150" w:line="274"/>
      </w:pPr>
      <w:r>
        <w:t xml:space="preserve">Everything here costs nothing but time and relationships. Ordered by speed to impact. Effort and impact are rough guides.</w:t>
      </w:r>
    </w:p>
    <w:p>
      <w:pPr>
        <w:pStyle w:val="Heading3"/>
      </w:pPr>
      <w:r>
        <w:t xml:space="preserve">1. Free high-authority directory and review listings</w:t>
      </w:r>
    </w:p>
    <w:p>
      <w:pPr>
        <w:spacing w:after="150" w:line="274"/>
      </w:pPr>
      <w:r>
        <w:rPr>
          <w:b/>
          <w:bCs/>
        </w:rPr>
        <w:t xml:space="preserve">What it is: </w:t>
      </w:r>
      <w:r>
        <w:t xml:space="preserve">Vendor and provider profiles on software directories that are themselves DR 85 to 95 and that buyers actively search.</w:t>
      </w:r>
    </w:p>
    <w:p>
      <w:pPr>
        <w:spacing w:after="150" w:line="274"/>
      </w:pPr>
      <w:r>
        <w:rPr>
          <w:b/>
          <w:bCs/>
        </w:rPr>
        <w:t xml:space="preserve">How to do it: </w:t>
      </w:r>
      <w:r>
        <w:t xml:space="preserve">Create free profiles on G2, Capterra, GetApp, SoftwareAdvice, TrustRadius, and Software Finder for BEG's iSolved practice, plus Clutch and UpCity for the managed-service side and a Google Business Profile for local search. Fill them out fully and link back to beghr.com.</w:t>
      </w:r>
    </w:p>
    <w:p>
      <w:pPr>
        <w:spacing w:after="210" w:line="274"/>
      </w:pPr>
      <w:r>
        <w:rPr>
          <w:b/>
          <w:bCs/>
          <w:color w:val="8A6B2E"/>
        </w:rPr>
        <w:t xml:space="preserve">Effort: </w:t>
      </w:r>
      <w:r>
        <w:t xml:space="preserve">Low, a few hours each    </w:t>
      </w:r>
      <w:r>
        <w:rPr>
          <w:b/>
          <w:bCs/>
          <w:color w:val="8A6B2E"/>
        </w:rPr>
        <w:t xml:space="preserve">Impact: </w:t>
      </w:r>
      <w:r>
        <w:t xml:space="preserve">High and fast</w:t>
      </w:r>
    </w:p>
    <w:p>
      <w:pPr>
        <w:pStyle w:val="Heading3"/>
      </w:pPr>
      <w:r>
        <w:t xml:space="preserve">2. The iSolved partner backlink</w:t>
      </w:r>
    </w:p>
    <w:p>
      <w:pPr>
        <w:spacing w:after="150" w:line="274"/>
      </w:pPr>
      <w:r>
        <w:rPr>
          <w:b/>
          <w:bCs/>
        </w:rPr>
        <w:t xml:space="preserve">What it is: </w:t>
      </w:r>
      <w:r>
        <w:t xml:space="preserve">A link from your own supplier, isolvedhcm.com (DR 71), which is highly relevant and easy to justify.</w:t>
      </w:r>
    </w:p>
    <w:p>
      <w:pPr>
        <w:spacing w:after="150" w:line="274"/>
      </w:pPr>
      <w:r>
        <w:rPr>
          <w:b/>
          <w:bCs/>
        </w:rPr>
        <w:t xml:space="preserve">How to do it: </w:t>
      </w:r>
      <w:r>
        <w:t xml:space="preserve">As an authorized iSolved reseller, request inclusion in the iSolved partner directory and any partner-locator pages. Ask your iSolved channel contact directly. Do the same with WTW partner or sponsor pages.</w:t>
      </w:r>
    </w:p>
    <w:p>
      <w:pPr>
        <w:spacing w:after="210" w:line="274"/>
      </w:pPr>
      <w:r>
        <w:rPr>
          <w:b/>
          <w:bCs/>
          <w:color w:val="8A6B2E"/>
        </w:rPr>
        <w:t xml:space="preserve">Effort: </w:t>
      </w:r>
      <w:r>
        <w:t xml:space="preserve">Low, one email    </w:t>
      </w:r>
      <w:r>
        <w:rPr>
          <w:b/>
          <w:bCs/>
          <w:color w:val="8A6B2E"/>
        </w:rPr>
        <w:t xml:space="preserve">Impact: </w:t>
      </w:r>
      <w:r>
        <w:t xml:space="preserve">High</w:t>
      </w:r>
    </w:p>
    <w:p>
      <w:pPr>
        <w:pStyle w:val="Heading3"/>
      </w:pPr>
      <w:r>
        <w:t xml:space="preserve">3. Your existing network, sponsors, and board</w:t>
      </w:r>
    </w:p>
    <w:p>
      <w:pPr>
        <w:spacing w:after="150" w:line="274"/>
      </w:pPr>
      <w:r>
        <w:rPr>
          <w:b/>
          <w:bCs/>
        </w:rPr>
        <w:t xml:space="preserve">What it is: </w:t>
      </w:r>
      <w:r>
        <w:t xml:space="preserve">Links from people who already know you: your 1,500 members, sponsors (iSolved, WTW), and board members' company sites.</w:t>
      </w:r>
    </w:p>
    <w:p>
      <w:pPr>
        <w:spacing w:after="150" w:line="274"/>
      </w:pPr>
      <w:r>
        <w:rPr>
          <w:b/>
          <w:bCs/>
        </w:rPr>
        <w:t xml:space="preserve">How to do it: </w:t>
      </w:r>
      <w:r>
        <w:t xml:space="preserve">Ask for partner-page links, member spotlights, and cross-links. Offer reciprocal mentions where it makes sense. Board members linking from their own company sites is quick and natural.</w:t>
      </w:r>
    </w:p>
    <w:p>
      <w:pPr>
        <w:spacing w:after="210" w:line="274"/>
      </w:pPr>
      <w:r>
        <w:rPr>
          <w:b/>
          <w:bCs/>
          <w:color w:val="8A6B2E"/>
        </w:rPr>
        <w:t xml:space="preserve">Effort: </w:t>
      </w:r>
      <w:r>
        <w:t xml:space="preserve">Low to medium, outreach    </w:t>
      </w:r>
      <w:r>
        <w:rPr>
          <w:b/>
          <w:bCs/>
          <w:color w:val="8A6B2E"/>
        </w:rPr>
        <w:t xml:space="preserve">Impact: </w:t>
      </w:r>
      <w:r>
        <w:t xml:space="preserve">Medium to high</w:t>
      </w:r>
    </w:p>
    <w:p>
      <w:pPr>
        <w:pStyle w:val="Heading3"/>
      </w:pPr>
      <w:r>
        <w:t xml:space="preserve">4. Journalist and expert-quote platforms (HARO style)</w:t>
      </w:r>
    </w:p>
    <w:p>
      <w:pPr>
        <w:spacing w:after="150" w:line="274"/>
      </w:pPr>
      <w:r>
        <w:rPr>
          <w:b/>
          <w:bCs/>
        </w:rPr>
        <w:t xml:space="preserve">What it is: </w:t>
      </w:r>
      <w:r>
        <w:t xml:space="preserve">Free tiers of Connectively, Qwoted, and Featured, where reporters request expert sources and published answers earn editorial links.</w:t>
      </w:r>
    </w:p>
    <w:p>
      <w:pPr>
        <w:spacing w:after="150" w:line="274"/>
      </w:pPr>
      <w:r>
        <w:rPr>
          <w:b/>
          <w:bCs/>
        </w:rPr>
        <w:t xml:space="preserve">How to do it: </w:t>
      </w:r>
      <w:r>
        <w:t xml:space="preserve">Anthony responds to relevant HR, payroll, small-business, and AI-in-HR queries a few times a week. The iSolved Connector for Claude angle makes him genuinely newsworthy. Each pickup is a real news-site link plus authority.</w:t>
      </w:r>
    </w:p>
    <w:p>
      <w:pPr>
        <w:spacing w:after="210" w:line="274"/>
      </w:pPr>
      <w:r>
        <w:rPr>
          <w:b/>
          <w:bCs/>
          <w:color w:val="8A6B2E"/>
        </w:rPr>
        <w:t xml:space="preserve">Effort: </w:t>
      </w:r>
      <w:r>
        <w:t xml:space="preserve">Medium, ongoing    </w:t>
      </w:r>
      <w:r>
        <w:rPr>
          <w:b/>
          <w:bCs/>
          <w:color w:val="8A6B2E"/>
        </w:rPr>
        <w:t xml:space="preserve">Impact: </w:t>
      </w:r>
      <w:r>
        <w:t xml:space="preserve">High over time</w:t>
      </w:r>
    </w:p>
    <w:p>
      <w:pPr>
        <w:pStyle w:val="Heading3"/>
      </w:pPr>
      <w:r>
        <w:t xml:space="preserve">5. Original data report (your best link magnet)</w:t>
      </w:r>
    </w:p>
    <w:p>
      <w:pPr>
        <w:spacing w:after="150" w:line="274"/>
      </w:pPr>
      <w:r>
        <w:rPr>
          <w:b/>
          <w:bCs/>
        </w:rPr>
        <w:t xml:space="preserve">What it is: </w:t>
      </w:r>
      <w:r>
        <w:t xml:space="preserve">A survey of your own 1,500-member network turned into a published report that the press cites.</w:t>
      </w:r>
    </w:p>
    <w:p>
      <w:pPr>
        <w:spacing w:after="150" w:line="274"/>
      </w:pPr>
      <w:r>
        <w:rPr>
          <w:b/>
          <w:bCs/>
        </w:rPr>
        <w:t xml:space="preserve">How to do it: </w:t>
      </w:r>
      <w:r>
        <w:t xml:space="preserve">Run a short survey (for example State of HR Automation and AI Adoption 2026), publish the findings as a page on beghr.com, and pitch it to HR-tech outlets and DFW business media. Data-driven reports earn more editorial links than any other asset, and you have a built-in audience to source the data for free.</w:t>
      </w:r>
    </w:p>
    <w:p>
      <w:pPr>
        <w:spacing w:after="210" w:line="274"/>
      </w:pPr>
      <w:r>
        <w:rPr>
          <w:b/>
          <w:bCs/>
          <w:color w:val="8A6B2E"/>
        </w:rPr>
        <w:t xml:space="preserve">Effort: </w:t>
      </w:r>
      <w:r>
        <w:t xml:space="preserve">Medium to high, one project    </w:t>
      </w:r>
      <w:r>
        <w:rPr>
          <w:b/>
          <w:bCs/>
          <w:color w:val="8A6B2E"/>
        </w:rPr>
        <w:t xml:space="preserve">Impact: </w:t>
      </w:r>
      <w:r>
        <w:t xml:space="preserve">Very high</w:t>
      </w:r>
    </w:p>
    <w:p>
      <w:pPr>
        <w:pStyle w:val="Heading3"/>
      </w:pPr>
      <w:r>
        <w:t xml:space="preserve">6. Promote the free tools you already built</w:t>
      </w:r>
    </w:p>
    <w:p>
      <w:pPr>
        <w:spacing w:after="150" w:line="274"/>
      </w:pPr>
      <w:r>
        <w:rPr>
          <w:b/>
          <w:bCs/>
        </w:rPr>
        <w:t xml:space="preserve">What it is: </w:t>
      </w:r>
      <w:r>
        <w:t xml:space="preserve">The ROI calculator, AI readiness scorecard, and platform finder are inherently linkable assets.</w:t>
      </w:r>
    </w:p>
    <w:p>
      <w:pPr>
        <w:spacing w:after="150" w:line="274"/>
      </w:pPr>
      <w:r>
        <w:rPr>
          <w:b/>
          <w:bCs/>
        </w:rPr>
        <w:t xml:space="preserve">How to do it: </w:t>
      </w:r>
      <w:r>
        <w:t xml:space="preserve">Share them in HR and small-business communities, on LinkedIn, in partner newsletters, and in relevant forum answers. Useful free tools attract links naturally over time.</w:t>
      </w:r>
    </w:p>
    <w:p>
      <w:pPr>
        <w:spacing w:after="210" w:line="274"/>
      </w:pPr>
      <w:r>
        <w:rPr>
          <w:b/>
          <w:bCs/>
          <w:color w:val="8A6B2E"/>
        </w:rPr>
        <w:t xml:space="preserve">Effort: </w:t>
      </w:r>
      <w:r>
        <w:t xml:space="preserve">Low, ongoing    </w:t>
      </w:r>
      <w:r>
        <w:rPr>
          <w:b/>
          <w:bCs/>
          <w:color w:val="8A6B2E"/>
        </w:rPr>
        <w:t xml:space="preserve">Impact: </w:t>
      </w:r>
      <w:r>
        <w:t xml:space="preserve">Medium, compounding</w:t>
      </w:r>
    </w:p>
    <w:p>
      <w:pPr>
        <w:pStyle w:val="Heading3"/>
      </w:pPr>
      <w:r>
        <w:t xml:space="preserve">7. Guest articles and podcast guesting</w:t>
      </w:r>
    </w:p>
    <w:p>
      <w:pPr>
        <w:spacing w:after="150" w:line="274"/>
      </w:pPr>
      <w:r>
        <w:rPr>
          <w:b/>
          <w:bCs/>
        </w:rPr>
        <w:t xml:space="preserve">What it is: </w:t>
      </w:r>
      <w:r>
        <w:t xml:space="preserve">Bylined posts and podcast appearances that include a link back and build expertise signals.</w:t>
      </w:r>
    </w:p>
    <w:p>
      <w:pPr>
        <w:spacing w:after="150" w:line="274"/>
      </w:pPr>
      <w:r>
        <w:rPr>
          <w:b/>
          <w:bCs/>
        </w:rPr>
        <w:t xml:space="preserve">How to do it: </w:t>
      </w:r>
      <w:r>
        <w:t xml:space="preserve">Pitch Anthony as a contributor to HR, payroll, and DFW business publications, and as a guest on entrepreneur and HR podcasts. Each placement gives a backlink plus credibility that helps every page rank.</w:t>
      </w:r>
    </w:p>
    <w:p>
      <w:pPr>
        <w:spacing w:after="210" w:line="274"/>
      </w:pPr>
      <w:r>
        <w:rPr>
          <w:b/>
          <w:bCs/>
          <w:color w:val="8A6B2E"/>
        </w:rPr>
        <w:t xml:space="preserve">Effort: </w:t>
      </w:r>
      <w:r>
        <w:t xml:space="preserve">Medium, ongoing    </w:t>
      </w:r>
      <w:r>
        <w:rPr>
          <w:b/>
          <w:bCs/>
          <w:color w:val="8A6B2E"/>
        </w:rPr>
        <w:t xml:space="preserve">Impact: </w:t>
      </w:r>
      <w:r>
        <w:t xml:space="preserve">Medium to high</w:t>
      </w:r>
    </w:p>
    <w:p>
      <w:pPr>
        <w:pStyle w:val="Heading3"/>
      </w:pPr>
      <w:r>
        <w:t xml:space="preserve">8. Reclaim unlinked mentions and citations</w:t>
      </w:r>
    </w:p>
    <w:p>
      <w:pPr>
        <w:spacing w:after="150" w:line="274"/>
      </w:pPr>
      <w:r>
        <w:rPr>
          <w:b/>
          <w:bCs/>
        </w:rPr>
        <w:t xml:space="preserve">What it is: </w:t>
      </w:r>
      <w:r>
        <w:t xml:space="preserve">Turning existing mentions of BEG into actual links, and keeping business listings consistent.</w:t>
      </w:r>
    </w:p>
    <w:p>
      <w:pPr>
        <w:spacing w:after="150" w:line="274"/>
      </w:pPr>
      <w:r>
        <w:rPr>
          <w:b/>
          <w:bCs/>
        </w:rPr>
        <w:t xml:space="preserve">How to do it: </w:t>
      </w:r>
      <w:r>
        <w:t xml:space="preserve">Search for places BEG or the iSolved practice is named without a link and ask for one. Keep name, address, and phone consistent across all directories so they reinforce each other.</w:t>
      </w:r>
    </w:p>
    <w:p>
      <w:pPr>
        <w:spacing w:after="210" w:line="274"/>
      </w:pPr>
      <w:r>
        <w:rPr>
          <w:b/>
          <w:bCs/>
          <w:color w:val="8A6B2E"/>
        </w:rPr>
        <w:t xml:space="preserve">Effort: </w:t>
      </w:r>
      <w:r>
        <w:t xml:space="preserve">Low, periodic    </w:t>
      </w:r>
      <w:r>
        <w:rPr>
          <w:b/>
          <w:bCs/>
          <w:color w:val="8A6B2E"/>
        </w:rPr>
        <w:t xml:space="preserve">Impact: </w:t>
      </w:r>
      <w:r>
        <w:t xml:space="preserve">Low to medium</w:t>
      </w:r>
    </w:p>
    <w:p>
      <w:pPr>
        <w:spacing w:after="150" w:line="274"/>
      </w:pPr>
      <w:r>
        <w:rPr>
          <w:b/>
          <w:bCs/>
        </w:rPr>
        <w:t xml:space="preserve">Realistic $0 outcome: </w:t>
      </w:r>
      <w:r>
        <w:t xml:space="preserve">with consistent effort, a few dozen relevant referring domains over three to six months, moving DR from 0 into the teens or low twenties. That is enough to start ranking for mid-tail terms the giants ignore.</w:t>
      </w:r>
    </w:p>
    <w:p>
      <w:r>
        <w:br w:type="page"/>
      </w:r>
    </w:p>
    <w:p>
      <w:pPr>
        <w:pStyle w:val="Heading1"/>
      </w:pPr>
      <w:r>
        <w:t xml:space="preserve">4. What NOT to Spend On (Any Budget)</w:t>
      </w:r>
    </w:p>
    <w:p>
      <w:pPr>
        <w:spacing w:after="150" w:line="274"/>
      </w:pPr>
      <w:r>
        <w:t xml:space="preserve">These look cheap and feel productive but cause penalties or waste money. Avoid them.</w:t>
      </w:r>
    </w:p>
    <w:p>
      <w:pPr>
        <w:pStyle w:val="ListParagraph"/>
        <w:numPr>
          <w:ilvl w:val="0"/>
          <w:numId w:val="2"/>
        </w:numPr>
        <w:spacing w:after="70" w:line="268"/>
      </w:pPr>
      <w:r>
        <w:rPr>
          <w:b/>
          <w:bCs/>
        </w:rPr>
        <w:t xml:space="preserve">Bulk or cheap backlink packages </w:t>
      </w:r>
      <w:r>
        <w:t xml:space="preserve">(Fiverr, fiver-style gig sites, 1,000 links for $50). These are spam and risk a Google penalty.</w:t>
      </w:r>
    </w:p>
    <w:p>
      <w:pPr>
        <w:pStyle w:val="ListParagraph"/>
        <w:numPr>
          <w:ilvl w:val="0"/>
          <w:numId w:val="2"/>
        </w:numPr>
        <w:spacing w:after="70" w:line="268"/>
      </w:pPr>
      <w:r>
        <w:rPr>
          <w:b/>
          <w:bCs/>
        </w:rPr>
        <w:t xml:space="preserve">Private blog networks (PBNs) </w:t>
      </w:r>
      <w:r>
        <w:t xml:space="preserve">and paid links that are not disclosed. Against Google guidelines.</w:t>
      </w:r>
    </w:p>
    <w:p>
      <w:pPr>
        <w:pStyle w:val="ListParagraph"/>
        <w:numPr>
          <w:ilvl w:val="0"/>
          <w:numId w:val="2"/>
        </w:numPr>
        <w:spacing w:after="70" w:line="268"/>
      </w:pPr>
      <w:r>
        <w:rPr>
          <w:b/>
          <w:bCs/>
        </w:rPr>
        <w:t xml:space="preserve">Mass automated outreach </w:t>
      </w:r>
      <w:r>
        <w:t xml:space="preserve">that blasts thousands of generic emails. Low yield and reputation damage.</w:t>
      </w:r>
    </w:p>
    <w:p>
      <w:pPr>
        <w:pStyle w:val="ListParagraph"/>
        <w:numPr>
          <w:ilvl w:val="0"/>
          <w:numId w:val="2"/>
        </w:numPr>
        <w:spacing w:after="70" w:line="268"/>
      </w:pPr>
      <w:r>
        <w:rPr>
          <w:b/>
          <w:bCs/>
        </w:rPr>
        <w:t xml:space="preserve">Buying expired domains to redirect. </w:t>
      </w:r>
      <w:r>
        <w:t xml:space="preserve">High risk, easily devalued.</w:t>
      </w:r>
    </w:p>
    <w:p>
      <w:pPr>
        <w:pStyle w:val="ListParagraph"/>
        <w:numPr>
          <w:ilvl w:val="0"/>
          <w:numId w:val="2"/>
        </w:numPr>
        <w:spacing w:after="70" w:line="268"/>
      </w:pPr>
      <w:r>
        <w:rPr>
          <w:b/>
          <w:bCs/>
        </w:rPr>
        <w:t xml:space="preserve">Paying for DR-inflation tricks. </w:t>
      </w:r>
      <w:r>
        <w:t xml:space="preserve">DR you buy without real relevance does not convert to rankings.</w:t>
      </w:r>
    </w:p>
    <w:p>
      <w:pPr>
        <w:spacing w:after="120"/>
      </w:pPr>
      <w:r>
        <w:t xml:space="preserve"/>
      </w:r>
    </w:p>
    <w:p>
      <w:pPr>
        <w:pStyle w:val="Heading1"/>
      </w:pPr>
      <w:r>
        <w:t xml:space="preserve">5. Budget Tiers: What Each Monthly Spend Buys</w:t>
      </w:r>
    </w:p>
    <w:p>
      <w:pPr>
        <w:spacing w:after="150" w:line="274"/>
      </w:pPr>
      <w:r>
        <w:t xml:space="preserve">Layer these on top of Phase 0, do not replace it. The free work keeps running at every tier. Outcomes are ranges, not guarantees, and assume the spend is sustained for the timeframe shown. Given the current runway, expect to live in Phase 0 and Tier 1 until revenue supports more.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2700"/>
        <w:gridCol w:w="1860"/>
      </w:tblGrid>
      <w:tr>
        <w:tc>
          <w:tcPr>
            <w:tcW w:type="dxa" w:w="1500"/>
            <w:tcBorders>
              <w:top w:val="single" w:color="CCCCCC" w:sz="1"/>
              <w:left w:val="single" w:color="CCCCCC" w:sz="1"/>
              <w:bottom w:val="single" w:color="CCCCCC" w:sz="1"/>
              <w:right w:val="single" w:color="CCCCCC" w:sz="1"/>
            </w:tcBorders>
            <w:shd w:fill="000000" w:val="clear"/>
            <w:tcMar>
              <w:top w:type="dxa" w:w="70"/>
              <w:left w:type="dxa" w:w="110"/>
              <w:bottom w:type="dxa" w:w="70"/>
              <w:right w:type="dxa" w:w="110"/>
            </w:tcMar>
          </w:tcPr>
          <w:p>
            <w:r>
              <w:rPr>
                <w:b/>
                <w:bCs/>
                <w:color w:val="FFFFFF"/>
                <w:sz w:val="19"/>
                <w:szCs w:val="19"/>
              </w:rPr>
              <w:t xml:space="preserve">Tier / month</w:t>
            </w:r>
          </w:p>
        </w:tc>
        <w:tc>
          <w:tcPr>
            <w:tcW w:type="dxa" w:w="3300"/>
            <w:tcBorders>
              <w:top w:val="single" w:color="CCCCCC" w:sz="1"/>
              <w:left w:val="single" w:color="CCCCCC" w:sz="1"/>
              <w:bottom w:val="single" w:color="CCCCCC" w:sz="1"/>
              <w:right w:val="single" w:color="CCCCCC" w:sz="1"/>
            </w:tcBorders>
            <w:shd w:fill="000000" w:val="clear"/>
            <w:tcMar>
              <w:top w:type="dxa" w:w="70"/>
              <w:left w:type="dxa" w:w="110"/>
              <w:bottom w:type="dxa" w:w="70"/>
              <w:right w:type="dxa" w:w="110"/>
            </w:tcMar>
          </w:tcPr>
          <w:p>
            <w:r>
              <w:rPr>
                <w:b/>
                <w:bCs/>
                <w:color w:val="FFFFFF"/>
                <w:sz w:val="19"/>
                <w:szCs w:val="19"/>
              </w:rPr>
              <w:t xml:space="preserve">What it funds</w:t>
            </w:r>
          </w:p>
        </w:tc>
        <w:tc>
          <w:tcPr>
            <w:tcW w:type="dxa" w:w="2700"/>
            <w:tcBorders>
              <w:top w:val="single" w:color="CCCCCC" w:sz="1"/>
              <w:left w:val="single" w:color="CCCCCC" w:sz="1"/>
              <w:bottom w:val="single" w:color="CCCCCC" w:sz="1"/>
              <w:right w:val="single" w:color="CCCCCC" w:sz="1"/>
            </w:tcBorders>
            <w:shd w:fill="000000" w:val="clear"/>
            <w:tcMar>
              <w:top w:type="dxa" w:w="70"/>
              <w:left w:type="dxa" w:w="110"/>
              <w:bottom w:type="dxa" w:w="70"/>
              <w:right w:type="dxa" w:w="110"/>
            </w:tcMar>
          </w:tcPr>
          <w:p>
            <w:r>
              <w:rPr>
                <w:b/>
                <w:bCs/>
                <w:color w:val="FFFFFF"/>
                <w:sz w:val="19"/>
                <w:szCs w:val="19"/>
              </w:rPr>
              <w:t xml:space="preserve">What you get</w:t>
            </w:r>
          </w:p>
        </w:tc>
        <w:tc>
          <w:tcPr>
            <w:tcW w:type="dxa" w:w="1860"/>
            <w:tcBorders>
              <w:top w:val="single" w:color="CCCCCC" w:sz="1"/>
              <w:left w:val="single" w:color="CCCCCC" w:sz="1"/>
              <w:bottom w:val="single" w:color="CCCCCC" w:sz="1"/>
              <w:right w:val="single" w:color="CCCCCC" w:sz="1"/>
            </w:tcBorders>
            <w:shd w:fill="000000" w:val="clear"/>
            <w:tcMar>
              <w:top w:type="dxa" w:w="70"/>
              <w:left w:type="dxa" w:w="110"/>
              <w:bottom w:type="dxa" w:w="70"/>
              <w:right w:type="dxa" w:w="110"/>
            </w:tcMar>
          </w:tcPr>
          <w:p>
            <w:r>
              <w:rPr>
                <w:b/>
                <w:bCs/>
                <w:color w:val="FFFFFF"/>
                <w:sz w:val="19"/>
                <w:szCs w:val="19"/>
              </w:rPr>
              <w:t xml:space="preserve">Expected outcome</w:t>
            </w:r>
          </w:p>
        </w:tc>
      </w:tr>
      <w:tr>
        <w:tc>
          <w:tcPr>
            <w:tcW w:type="dxa" w:w="1500"/>
            <w:tcBorders>
              <w:top w:val="single" w:color="CCCCCC" w:sz="1"/>
              <w:left w:val="single" w:color="CCCCCC" w:sz="1"/>
              <w:bottom w:val="single" w:color="CCCCCC" w:sz="1"/>
              <w:right w:val="single" w:color="CCCCCC" w:sz="1"/>
            </w:tcBorders>
            <w:shd w:fill="F4EFE6" w:val="clear"/>
            <w:tcMar>
              <w:top w:type="dxa" w:w="70"/>
              <w:left w:type="dxa" w:w="110"/>
              <w:bottom w:type="dxa" w:w="70"/>
              <w:right w:type="dxa" w:w="110"/>
            </w:tcMar>
          </w:tcPr>
          <w:p>
            <w:r>
              <w:rPr>
                <w:b/>
                <w:bCs/>
                <w:sz w:val="19"/>
                <w:szCs w:val="19"/>
              </w:rPr>
              <w:t xml:space="preserve">$0</w:t>
            </w:r>
          </w:p>
        </w:tc>
        <w:tc>
          <w:tcPr>
            <w:tcW w:type="dxa" w:w="3300"/>
            <w:tcBorders>
              <w:top w:val="single" w:color="CCCCCC" w:sz="1"/>
              <w:left w:val="single" w:color="CCCCCC" w:sz="1"/>
              <w:bottom w:val="single" w:color="CCCCCC" w:sz="1"/>
              <w:right w:val="single" w:color="CCCCCC" w:sz="1"/>
            </w:tcBorders>
            <w:shd w:fill="F4EFE6" w:val="clear"/>
            <w:tcMar>
              <w:top w:type="dxa" w:w="70"/>
              <w:left w:type="dxa" w:w="110"/>
              <w:bottom w:type="dxa" w:w="70"/>
              <w:right w:type="dxa" w:w="110"/>
            </w:tcMar>
          </w:tcPr>
          <w:p>
            <w:r>
              <w:rPr>
                <w:sz w:val="19"/>
                <w:szCs w:val="19"/>
              </w:rPr>
              <w:t xml:space="preserve">All of Phase 0: directories, partner and network links, HARO free tier, self-published data report, tool promotion, guest pitches.</w:t>
            </w:r>
          </w:p>
        </w:tc>
        <w:tc>
          <w:tcPr>
            <w:tcW w:type="dxa" w:w="2700"/>
            <w:tcBorders>
              <w:top w:val="single" w:color="CCCCCC" w:sz="1"/>
              <w:left w:val="single" w:color="CCCCCC" w:sz="1"/>
              <w:bottom w:val="single" w:color="CCCCCC" w:sz="1"/>
              <w:right w:val="single" w:color="CCCCCC" w:sz="1"/>
            </w:tcBorders>
            <w:shd w:fill="F4EFE6" w:val="clear"/>
            <w:tcMar>
              <w:top w:type="dxa" w:w="70"/>
              <w:left w:type="dxa" w:w="110"/>
              <w:bottom w:type="dxa" w:w="70"/>
              <w:right w:type="dxa" w:w="110"/>
            </w:tcMar>
          </w:tcPr>
          <w:p>
            <w:r>
              <w:rPr>
                <w:sz w:val="19"/>
                <w:szCs w:val="19"/>
              </w:rPr>
              <w:t xml:space="preserve">A few dozen relevant referring domains over 3 to 6 months.</w:t>
            </w:r>
          </w:p>
        </w:tc>
        <w:tc>
          <w:tcPr>
            <w:tcW w:type="dxa" w:w="1860"/>
            <w:tcBorders>
              <w:top w:val="single" w:color="CCCCCC" w:sz="1"/>
              <w:left w:val="single" w:color="CCCCCC" w:sz="1"/>
              <w:bottom w:val="single" w:color="CCCCCC" w:sz="1"/>
              <w:right w:val="single" w:color="CCCCCC" w:sz="1"/>
            </w:tcBorders>
            <w:shd w:fill="F4EFE6" w:val="clear"/>
            <w:tcMar>
              <w:top w:type="dxa" w:w="70"/>
              <w:left w:type="dxa" w:w="110"/>
              <w:bottom w:type="dxa" w:w="70"/>
              <w:right w:type="dxa" w:w="110"/>
            </w:tcMar>
          </w:tcPr>
          <w:p>
            <w:r>
              <w:rPr>
                <w:sz w:val="19"/>
                <w:szCs w:val="19"/>
              </w:rPr>
              <w:t xml:space="preserve">DR 0 into the teens to low 20s. Mid-tail terms start ranking.</w:t>
            </w:r>
          </w:p>
        </w:tc>
      </w:tr>
      <w:tr>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19"/>
                <w:szCs w:val="19"/>
              </w:rPr>
              <w:t xml:space="preserve">$300 to $500</w:t>
            </w:r>
          </w:p>
        </w:tc>
        <w:tc>
          <w:tcPr>
            <w:tcW w:type="dxa" w:w="33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Paid HARO/Featured tier for more pickups, an outreach tool (Hunter or BuzzStream low tier), a few premium directory placements, light freelance help.</w:t>
            </w:r>
          </w:p>
        </w:tc>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5 to 10 quality referring domains per month, more consistent press pickups.</w:t>
            </w:r>
          </w:p>
        </w:tc>
        <w:tc>
          <w:tcPr>
            <w:tcW w:type="dxa" w:w="18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DR into the 20s within 6 to 9 months. Some referral traffic.</w:t>
            </w:r>
          </w:p>
        </w:tc>
      </w:tr>
      <w:tr>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19"/>
                <w:szCs w:val="19"/>
              </w:rPr>
              <w:t xml:space="preserve">$1,000 to $2,000</w:t>
            </w:r>
          </w:p>
        </w:tc>
        <w:tc>
          <w:tcPr>
            <w:tcW w:type="dxa" w:w="33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A part-time freelance link-builder or digital-PR contractor, a few placed guest posts on DR 40 to 60 HR/business sites, paid distribution for the data report, a niche newsletter sponsorship.</w:t>
            </w:r>
          </w:p>
        </w:tc>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10 to 20 quality referring domains per month plus referral traffic.</w:t>
            </w:r>
          </w:p>
        </w:tc>
        <w:tc>
          <w:tcPr>
            <w:tcW w:type="dxa" w:w="18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DR into the 30s over 6 to 12 months. Mid-volume terms become reachable.</w:t>
            </w:r>
          </w:p>
        </w:tc>
      </w:tr>
      <w:tr>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19"/>
                <w:szCs w:val="19"/>
              </w:rPr>
              <w:t xml:space="preserve">$3,000 to $5,000</w:t>
            </w:r>
          </w:p>
        </w:tc>
        <w:tc>
          <w:tcPr>
            <w:tcW w:type="dxa" w:w="33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A boutique digital-PR or link-building agency retainer, data-led PR campaigns, higher-authority placements (DR 60 to 80), content plus outreach combined.</w:t>
            </w:r>
          </w:p>
        </w:tc>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20 to 40 quality referring domains per month, multiple links per campaign.</w:t>
            </w:r>
          </w:p>
        </w:tc>
        <w:tc>
          <w:tcPr>
            <w:tcW w:type="dxa" w:w="18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DR 40+ over 9 to 12 months. Head terms begin to move.</w:t>
            </w:r>
          </w:p>
        </w:tc>
      </w:tr>
      <w:tr>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19"/>
                <w:szCs w:val="19"/>
              </w:rPr>
              <w:t xml:space="preserve">$7,500 to $15,000+</w:t>
            </w:r>
          </w:p>
        </w:tc>
        <w:tc>
          <w:tcPr>
            <w:tcW w:type="dxa" w:w="33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Full-service SEO and PR agency, aggressive digital PR, original research campaigns, an executive thought-leadership program, paid amplification.</w:t>
            </w:r>
          </w:p>
        </w:tc>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Sustained high-authority link velocity and brand coverage.</w:t>
            </w:r>
          </w:p>
        </w:tc>
        <w:tc>
          <w:tcPr>
            <w:tcW w:type="dxa" w:w="18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DR 50+ and competitive on head terms within 12 to 18 months.</w:t>
            </w:r>
          </w:p>
        </w:tc>
      </w:tr>
    </w:tbl>
    <w:p>
      <w:pPr>
        <w:spacing w:after="120"/>
      </w:pPr>
      <w:r>
        <w:t xml:space="preserve"/>
      </w:r>
    </w:p>
    <w:p>
      <w:pPr>
        <w:spacing w:after="150" w:line="274"/>
      </w:pPr>
      <w:r>
        <w:rPr>
          <w:b/>
          <w:bCs/>
        </w:rPr>
        <w:t xml:space="preserve">How to read this: </w:t>
      </w:r>
      <w:r>
        <w:t xml:space="preserve">each tier is cumulative. The $0 work never stops, even at the top tier, because directory listings, partner links, and the data report keep paying off. The paid tiers mainly buy outreach volume and access to higher-authority placements, which is what accelerates DR.</w:t>
      </w:r>
    </w:p>
    <w:p>
      <w:r>
        <w:br w:type="page"/>
      </w:r>
    </w:p>
    <w:p>
      <w:pPr>
        <w:pStyle w:val="Heading1"/>
      </w:pPr>
      <w:r>
        <w:t xml:space="preserve">6. Measurement and Cadence</w:t>
      </w:r>
    </w:p>
    <w:p>
      <w:pPr>
        <w:pStyle w:val="ListParagraph"/>
        <w:numPr>
          <w:ilvl w:val="0"/>
          <w:numId w:val="2"/>
        </w:numPr>
        <w:spacing w:after="70" w:line="268"/>
      </w:pPr>
      <w:r>
        <w:rPr>
          <w:b/>
          <w:bCs/>
        </w:rPr>
        <w:t xml:space="preserve">Monthly: </w:t>
      </w:r>
      <w:r>
        <w:t xml:space="preserve">track new referring domains (the leading indicator) and DR in Ahrefs. Referring domains move first, DR follows.</w:t>
      </w:r>
    </w:p>
    <w:p>
      <w:pPr>
        <w:pStyle w:val="ListParagraph"/>
        <w:numPr>
          <w:ilvl w:val="0"/>
          <w:numId w:val="2"/>
        </w:numPr>
        <w:spacing w:after="70" w:line="268"/>
      </w:pPr>
      <w:r>
        <w:rPr>
          <w:b/>
          <w:bCs/>
        </w:rPr>
        <w:t xml:space="preserve">Monthly: </w:t>
      </w:r>
      <w:r>
        <w:t xml:space="preserve">watch Search Console impressions and clicks by page cluster to see which content gains traction as authority rises, then double down there.</w:t>
      </w:r>
    </w:p>
    <w:p>
      <w:pPr>
        <w:pStyle w:val="ListParagraph"/>
        <w:numPr>
          <w:ilvl w:val="0"/>
          <w:numId w:val="2"/>
        </w:numPr>
        <w:spacing w:after="70" w:line="268"/>
      </w:pPr>
      <w:r>
        <w:rPr>
          <w:b/>
          <w:bCs/>
        </w:rPr>
        <w:t xml:space="preserve">Quarterly: </w:t>
      </w:r>
      <w:r>
        <w:t xml:space="preserve">review which link sources actually drove referral traffic and rankings, and reinvest in those.</w:t>
      </w:r>
    </w:p>
    <w:p>
      <w:pPr>
        <w:pStyle w:val="ListParagraph"/>
        <w:numPr>
          <w:ilvl w:val="0"/>
          <w:numId w:val="2"/>
        </w:numPr>
        <w:spacing w:after="70" w:line="268"/>
      </w:pPr>
      <w:r>
        <w:rPr>
          <w:b/>
          <w:bCs/>
        </w:rPr>
        <w:t xml:space="preserve">Always: </w:t>
      </w:r>
      <w:r>
        <w:t xml:space="preserve">tie organic landing pages to book_call_click conversions in GA4 so authority work is judged on revenue, not vanity metrics.</w:t>
      </w:r>
    </w:p>
    <w:p>
      <w:pPr>
        <w:spacing w:after="120"/>
      </w:pPr>
      <w:r>
        <w:t xml:space="preserve"/>
      </w:r>
    </w:p>
    <w:p>
      <w:pPr>
        <w:pStyle w:val="Heading1"/>
      </w:pPr>
      <w:r>
        <w:t xml:space="preserve">7. Recommended First 90 Days (at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000000" w:val="clear"/>
            <w:tcMar>
              <w:top w:type="dxa" w:w="70"/>
              <w:left w:type="dxa" w:w="110"/>
              <w:bottom w:type="dxa" w:w="70"/>
              <w:right w:type="dxa" w:w="110"/>
            </w:tcMar>
          </w:tcPr>
          <w:p>
            <w:r>
              <w:rPr>
                <w:b/>
                <w:bCs/>
                <w:color w:val="FFFFFF"/>
                <w:sz w:val="19"/>
                <w:szCs w:val="19"/>
              </w:rPr>
              <w:t xml:space="preserve">Weeks</w:t>
            </w:r>
          </w:p>
        </w:tc>
        <w:tc>
          <w:tcPr>
            <w:tcW w:type="dxa" w:w="7860"/>
            <w:tcBorders>
              <w:top w:val="single" w:color="CCCCCC" w:sz="1"/>
              <w:left w:val="single" w:color="CCCCCC" w:sz="1"/>
              <w:bottom w:val="single" w:color="CCCCCC" w:sz="1"/>
              <w:right w:val="single" w:color="CCCCCC" w:sz="1"/>
            </w:tcBorders>
            <w:shd w:fill="000000" w:val="clear"/>
            <w:tcMar>
              <w:top w:type="dxa" w:w="70"/>
              <w:left w:type="dxa" w:w="110"/>
              <w:bottom w:type="dxa" w:w="70"/>
              <w:right w:type="dxa" w:w="110"/>
            </w:tcMar>
          </w:tcPr>
          <w:p>
            <w:r>
              <w:rPr>
                <w:b/>
                <w:bCs/>
                <w:color w:val="FFFFFF"/>
                <w:sz w:val="19"/>
                <w:szCs w:val="19"/>
              </w:rPr>
              <w:t xml:space="preserve">Focus</w:t>
            </w:r>
          </w:p>
        </w:tc>
      </w:tr>
      <w:tr>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19"/>
                <w:szCs w:val="19"/>
              </w:rPr>
              <w:t xml:space="preserve">1 to 2</w:t>
            </w:r>
          </w:p>
        </w:tc>
        <w:tc>
          <w:tcPr>
            <w:tcW w:type="dxa" w:w="78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Create all free directory and review profiles and the Google Business Profile. Request the iSolved partner link and WTW link. Quick wins, immediate domains.</w:t>
            </w:r>
          </w:p>
        </w:tc>
      </w:tr>
      <w:tr>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19"/>
                <w:szCs w:val="19"/>
              </w:rPr>
              <w:t xml:space="preserve">2 to 4</w:t>
            </w:r>
          </w:p>
        </w:tc>
        <w:tc>
          <w:tcPr>
            <w:tcW w:type="dxa" w:w="78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Network and sponsor outreach for links and member spotlights. Set up Connectively/Qwoted/Featured and start answering queries weekly.</w:t>
            </w:r>
          </w:p>
        </w:tc>
      </w:tr>
      <w:tr>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19"/>
                <w:szCs w:val="19"/>
              </w:rPr>
              <w:t xml:space="preserve">4 to 8</w:t>
            </w:r>
          </w:p>
        </w:tc>
        <w:tc>
          <w:tcPr>
            <w:tcW w:type="dxa" w:w="78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Launch the member survey, compile the data report, publish it on beghr.com, and begin press and DFW-business outreach. Promote the three free tools.</w:t>
            </w:r>
          </w:p>
        </w:tc>
      </w:tr>
      <w:tr>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19"/>
                <w:szCs w:val="19"/>
              </w:rPr>
              <w:t xml:space="preserve">8 to 12</w:t>
            </w:r>
          </w:p>
        </w:tc>
        <w:tc>
          <w:tcPr>
            <w:tcW w:type="dxa" w:w="78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Pitch guest articles and podcast spots. Reclaim unlinked mentions. Review referring-domain growth and reinvest effort where links landed.</w:t>
            </w:r>
          </w:p>
        </w:tc>
      </w:tr>
    </w:tbl>
    <w:p>
      <w:pPr>
        <w:spacing w:after="120"/>
      </w:pPr>
      <w:r>
        <w:t xml:space="preserve"/>
      </w:r>
    </w:p>
    <w:p>
      <w:pPr>
        <w:pStyle w:val="Heading1"/>
      </w:pPr>
      <w:r>
        <w:t xml:space="preserve">8. What Claude Can Build or Draft for You</w:t>
      </w:r>
    </w:p>
    <w:p>
      <w:pPr>
        <w:spacing w:after="150" w:line="274"/>
      </w:pPr>
      <w:r>
        <w:t xml:space="preserve">To make Phase 0 move fast, I can produce the following on request. Anything that goes out as outreach will be held for your approval first.</w:t>
      </w:r>
    </w:p>
    <w:p>
      <w:pPr>
        <w:pStyle w:val="ListParagraph"/>
        <w:numPr>
          <w:ilvl w:val="0"/>
          <w:numId w:val="2"/>
        </w:numPr>
        <w:spacing w:after="70" w:line="268"/>
      </w:pPr>
      <w:r>
        <w:t xml:space="preserve">Directory profile copy for G2, Capterra, GetApp, SoftwareAdvice, TrustRadius, Clutch, and the Google Business Profile.</w:t>
      </w:r>
    </w:p>
    <w:p>
      <w:pPr>
        <w:pStyle w:val="ListParagraph"/>
        <w:numPr>
          <w:ilvl w:val="0"/>
          <w:numId w:val="2"/>
        </w:numPr>
        <w:spacing w:after="70" w:line="268"/>
      </w:pPr>
      <w:r>
        <w:t xml:space="preserve">The iSolved partner-link request email and the WTW request email.</w:t>
      </w:r>
    </w:p>
    <w:p>
      <w:pPr>
        <w:pStyle w:val="ListParagraph"/>
        <w:numPr>
          <w:ilvl w:val="0"/>
          <w:numId w:val="2"/>
        </w:numPr>
        <w:spacing w:after="70" w:line="268"/>
      </w:pPr>
      <w:r>
        <w:t xml:space="preserve">A network and sponsor outreach template for member spotlights and partner-page links.</w:t>
      </w:r>
    </w:p>
    <w:p>
      <w:pPr>
        <w:pStyle w:val="ListParagraph"/>
        <w:numPr>
          <w:ilvl w:val="0"/>
          <w:numId w:val="2"/>
        </w:numPr>
        <w:spacing w:after="70" w:line="268"/>
      </w:pPr>
      <w:r>
        <w:t xml:space="preserve">The member survey questions and the data-report page, built on beghr.com to the existing framework.</w:t>
      </w:r>
    </w:p>
    <w:p>
      <w:pPr>
        <w:pStyle w:val="ListParagraph"/>
        <w:numPr>
          <w:ilvl w:val="0"/>
          <w:numId w:val="2"/>
        </w:numPr>
        <w:spacing w:after="70" w:line="268"/>
      </w:pPr>
      <w:r>
        <w:t xml:space="preserve">A press and podcast target list with pitch templates and bylined-article angles.</w:t>
      </w:r>
    </w:p>
    <w:p>
      <w:pPr>
        <w:pStyle w:val="ListParagraph"/>
        <w:numPr>
          <w:ilvl w:val="0"/>
          <w:numId w:val="2"/>
        </w:numPr>
        <w:spacing w:after="70" w:line="268"/>
      </w:pPr>
      <w:r>
        <w:t xml:space="preserve">A tracking sheet for referring domains, DR, and outreach status.</w:t>
      </w:r>
    </w:p>
    <w:p>
      <w:pPr>
        <w:spacing w:after="120"/>
      </w:pPr>
      <w:r>
        <w:t xml:space="preserve"/>
      </w:r>
    </w:p>
    <w:p>
      <w:r>
        <w:br w:type="page"/>
      </w:r>
    </w:p>
    <w:p>
      <w:pPr>
        <w:pStyle w:val="Heading1"/>
      </w:pPr>
      <w:r>
        <w:t xml:space="preserve">9. Ready-to-Use Phase 0 Assets</w:t>
      </w:r>
    </w:p>
    <w:p>
      <w:pPr>
        <w:spacing w:after="150" w:line="274"/>
      </w:pPr>
      <w:r>
        <w:t xml:space="preserve">Copy and paste these directly. Adjust only where a directory asks for something specific. Keep name, address, and phone identical everywhere so the citations reinforce each other.</w:t>
      </w:r>
    </w:p>
    <w:p>
      <w:pPr>
        <w:pStyle w:val="Heading2"/>
      </w:pPr>
      <w:r>
        <w:t xml:space="preserve">9.1 Master Directory Profile</w:t>
      </w:r>
    </w:p>
    <w:p>
      <w:pPr>
        <w:spacing w:after="150" w:line="274"/>
      </w:pPr>
      <w:r>
        <w:rPr>
          <w:color w:val="666666"/>
        </w:rPr>
        <w:t xml:space="preserve">Use this same profile across G2, Capterra, GetApp, SoftwareAdvice, TrustRadius, and Clutch. Each profile gives you a link from a DR 85 to 95 domain plus buyer visibility.</w:t>
      </w:r>
    </w:p>
    <w:p>
      <w:pPr>
        <w:spacing w:after="150" w:line="274"/>
      </w:pPr>
      <w:r>
        <w:rPr>
          <w:b/>
          <w:bCs/>
        </w:rPr>
        <w:t xml:space="preserve">Company name: </w:t>
      </w:r>
      <w:r>
        <w:t xml:space="preserve">Business Executive Group (BEG)</w:t>
      </w:r>
    </w:p>
    <w:p>
      <w:pPr>
        <w:spacing w:after="150" w:line="274"/>
      </w:pPr>
      <w:r>
        <w:rPr>
          <w:b/>
          <w:bCs/>
        </w:rPr>
        <w:t xml:space="preserve">Website: </w:t>
      </w:r>
      <w:r>
        <w:t xml:space="preserve">https://beghr.com</w:t>
      </w:r>
    </w:p>
    <w:p>
      <w:pPr>
        <w:spacing w:after="150" w:line="274"/>
      </w:pPr>
      <w:r>
        <w:rPr>
          <w:b/>
          <w:bCs/>
        </w:rPr>
        <w:t xml:space="preserve">Headquarters: </w:t>
      </w:r>
      <w:r>
        <w:t xml:space="preserve">7700 Windrose Ave, Plano, TX 75024</w:t>
      </w:r>
    </w:p>
    <w:p>
      <w:pPr>
        <w:spacing w:after="150" w:line="274"/>
      </w:pPr>
      <w:r>
        <w:rPr>
          <w:b/>
          <w:bCs/>
        </w:rPr>
        <w:t xml:space="preserve">Phone: </w:t>
      </w:r>
      <w:r>
        <w:t xml:space="preserve">469-412-1204     </w:t>
      </w:r>
      <w:r>
        <w:rPr>
          <w:b/>
          <w:bCs/>
        </w:rPr>
        <w:t xml:space="preserve">Email: </w:t>
      </w:r>
      <w:r>
        <w:t xml:space="preserve">sales@beghr.com</w:t>
      </w:r>
    </w:p>
    <w:p>
      <w:pPr>
        <w:spacing w:after="150" w:line="274"/>
      </w:pPr>
      <w:r>
        <w:rPr>
          <w:b/>
          <w:bCs/>
        </w:rPr>
        <w:t xml:space="preserve">Categories: </w:t>
      </w:r>
      <w:r>
        <w:t xml:space="preserve">HCM software reseller, Managed payroll services, HR outsourcing, Payroll services</w:t>
      </w:r>
    </w:p>
    <w:p>
      <w:pPr>
        <w:spacing w:after="150" w:line="274"/>
      </w:pPr>
      <w:r>
        <w:rPr>
          <w:b/>
          <w:bCs/>
        </w:rPr>
        <w:t xml:space="preserve">Tagline: </w:t>
      </w:r>
      <w:r>
        <w:t xml:space="preserve">Fully managed payroll, HCM software, and job placement for growing companies.</w:t>
      </w:r>
    </w:p>
    <w:p>
      <w:pPr>
        <w:pStyle w:val="Heading3"/>
      </w:pPr>
      <w:r>
        <w:t xml:space="preserve">Short description (for fields with a tight character limit)</w:t>
      </w:r>
    </w:p>
    <w:p>
      <w:pPr>
        <w:spacing w:after="150" w:line="274"/>
      </w:pPr>
      <w:r>
        <w:t xml:space="preserve">Business Executive Group is an authorized iSolved partner and managed HR provider. We deliver fully managed payroll, the iSolved HCM platform with BEG implementation and support, and specialized job placement. One team runs the people side of your business, so you do not have to. Serving companies nationwide from Plano, Texas.</w:t>
      </w:r>
    </w:p>
    <w:p>
      <w:pPr>
        <w:pStyle w:val="Heading3"/>
      </w:pPr>
      <w:r>
        <w:t xml:space="preserve">Long description</w:t>
      </w:r>
    </w:p>
    <w:p>
      <w:pPr>
        <w:spacing w:after="150" w:line="274"/>
      </w:pPr>
      <w:r>
        <w:t xml:space="preserve">Business Executive Group (BEG) helps growing and mid-market companies take the people side of the business off their plate. As an authorized iSolved partner, BEG delivers the iSolved HCM platform, payroll, HR, time, and benefits on one connected system, and implements, configures, and supports it for you rather than handing you a login. iSolved is the only HCM platform with a generally available Connector for Claude, which lets your team complete real HR tasks through conversation instead of clicking through screens.</w:t>
      </w:r>
    </w:p>
    <w:p>
      <w:pPr>
        <w:spacing w:after="150" w:line="274"/>
      </w:pPr>
      <w:r>
        <w:t xml:space="preserve">BEG also offers fully managed payroll at a flat per-employee rate that replaces the cost of an internal hire, and specialized job placement for legal, healthcare, finance, technology, engineering, and trades roles. Backed by an established network of more than 1,500 member entrepreneurs, BEG combines enterprise-grade technology with local, year-round, named support. Forrester documented a 330% ROI for iSolved clients, and more than 7 million employees are managed on the platform.</w:t>
      </w:r>
    </w:p>
    <w:p>
      <w:pPr>
        <w:pStyle w:val="Heading3"/>
      </w:pPr>
      <w:r>
        <w:t xml:space="preserve">Services and features (bulleted field)</w:t>
      </w:r>
    </w:p>
    <w:p>
      <w:pPr>
        <w:pStyle w:val="ListParagraph"/>
        <w:numPr>
          <w:ilvl w:val="0"/>
          <w:numId w:val="2"/>
        </w:numPr>
        <w:spacing w:after="70" w:line="268"/>
      </w:pPr>
      <w:r>
        <w:t xml:space="preserve">Fully managed payroll at a flat per-employee-per-month rate, all inclusive</w:t>
      </w:r>
    </w:p>
    <w:p>
      <w:pPr>
        <w:pStyle w:val="ListParagraph"/>
        <w:numPr>
          <w:ilvl w:val="0"/>
          <w:numId w:val="2"/>
        </w:numPr>
        <w:spacing w:after="70" w:line="268"/>
      </w:pPr>
      <w:r>
        <w:t xml:space="preserve">iSolved HCM platform: payroll, HR, time and attendance, and benefits on one system</w:t>
      </w:r>
    </w:p>
    <w:p>
      <w:pPr>
        <w:pStyle w:val="ListParagraph"/>
        <w:numPr>
          <w:ilvl w:val="0"/>
          <w:numId w:val="2"/>
        </w:numPr>
        <w:spacing w:after="70" w:line="268"/>
      </w:pPr>
      <w:r>
        <w:t xml:space="preserve">iSolved Connector for Claude, the only generally available AI task connector in HCM</w:t>
      </w:r>
    </w:p>
    <w:p>
      <w:pPr>
        <w:pStyle w:val="ListParagraph"/>
        <w:numPr>
          <w:ilvl w:val="0"/>
          <w:numId w:val="2"/>
        </w:numPr>
        <w:spacing w:after="70" w:line="268"/>
      </w:pPr>
      <w:r>
        <w:t xml:space="preserve">BEG-managed implementation, configuration, and year-round support</w:t>
      </w:r>
    </w:p>
    <w:p>
      <w:pPr>
        <w:pStyle w:val="ListParagraph"/>
        <w:numPr>
          <w:ilvl w:val="0"/>
          <w:numId w:val="2"/>
        </w:numPr>
        <w:spacing w:after="70" w:line="268"/>
      </w:pPr>
      <w:r>
        <w:t xml:space="preserve">Specialized job placement across legal, healthcare, finance, technology, engineering, and trades</w:t>
      </w:r>
    </w:p>
    <w:p>
      <w:pPr>
        <w:pStyle w:val="Heading3"/>
      </w:pPr>
      <w:r>
        <w:t xml:space="preserve">Industries served (field)</w:t>
      </w:r>
    </w:p>
    <w:p>
      <w:pPr>
        <w:spacing w:after="150" w:line="274"/>
      </w:pPr>
      <w:r>
        <w:t xml:space="preserve">Manufacturing, construction, healthcare, restaurants, retail, nonprofits, professional services, staffing agencies, transportation, legal, finance, technology, and more.</w:t>
      </w:r>
    </w:p>
    <w:p>
      <w:pPr>
        <w:pStyle w:val="Heading3"/>
      </w:pPr>
      <w:r>
        <w:t xml:space="preserve">What makes BEG different (field)</w:t>
      </w:r>
    </w:p>
    <w:p>
      <w:pPr>
        <w:spacing w:after="150" w:line="274"/>
      </w:pPr>
      <w:r>
        <w:t xml:space="preserve">BEG is done for you, not do it yourself. Competitors sell software you have to run. BEG runs it for you, configures it for your industry, and supports you year round. It is also the only HCM practice offering the iSolved Connector for Claude, and it is sized for the mid-market rather than the enterprise.</w:t>
      </w:r>
    </w:p>
    <w:p>
      <w:pPr>
        <w:pStyle w:val="Heading2"/>
      </w:pPr>
      <w:r>
        <w:t xml:space="preserve">9.2 Google Business Profile</w:t>
      </w:r>
    </w:p>
    <w:p>
      <w:pPr>
        <w:spacing w:after="150" w:line="274"/>
      </w:pPr>
      <w:r>
        <w:rPr>
          <w:color w:val="666666"/>
        </w:rPr>
        <w:t xml:space="preserve">A Google Business Profile is a free citation and a local-search asset. Use the same name, address, and phone as above.</w:t>
      </w:r>
    </w:p>
    <w:p>
      <w:pPr>
        <w:spacing w:after="150" w:line="274"/>
      </w:pPr>
      <w:r>
        <w:rPr>
          <w:b/>
          <w:bCs/>
        </w:rPr>
        <w:t xml:space="preserve">Business name: </w:t>
      </w:r>
      <w:r>
        <w:t xml:space="preserve">Business Executive Group</w:t>
      </w:r>
    </w:p>
    <w:p>
      <w:pPr>
        <w:spacing w:after="150" w:line="274"/>
      </w:pPr>
      <w:r>
        <w:rPr>
          <w:b/>
          <w:bCs/>
        </w:rPr>
        <w:t xml:space="preserve">Primary category: </w:t>
      </w:r>
      <w:r>
        <w:t xml:space="preserve">Payroll service</w:t>
      </w:r>
    </w:p>
    <w:p>
      <w:pPr>
        <w:spacing w:after="150" w:line="274"/>
      </w:pPr>
      <w:r>
        <w:rPr>
          <w:b/>
          <w:bCs/>
        </w:rPr>
        <w:t xml:space="preserve">Additional categories: </w:t>
      </w:r>
      <w:r>
        <w:t xml:space="preserve">Software company, Human resource consulting, Employment agency</w:t>
      </w:r>
    </w:p>
    <w:p>
      <w:pPr>
        <w:spacing w:after="150" w:line="274"/>
      </w:pPr>
      <w:r>
        <w:rPr>
          <w:b/>
          <w:bCs/>
        </w:rPr>
        <w:t xml:space="preserve">Service area: </w:t>
      </w:r>
      <w:r>
        <w:t xml:space="preserve">Dallas-Fort Worth and nationwide</w:t>
      </w:r>
    </w:p>
    <w:p>
      <w:pPr>
        <w:spacing w:after="150" w:line="274"/>
      </w:pPr>
      <w:r>
        <w:rPr>
          <w:b/>
          <w:bCs/>
        </w:rPr>
        <w:t xml:space="preserve">Website: </w:t>
      </w:r>
      <w:r>
        <w:t xml:space="preserve">https://beghr.com     </w:t>
      </w:r>
      <w:r>
        <w:rPr>
          <w:b/>
          <w:bCs/>
        </w:rPr>
        <w:t xml:space="preserve">Phone: </w:t>
      </w:r>
      <w:r>
        <w:t xml:space="preserve">469-412-1204</w:t>
      </w:r>
    </w:p>
    <w:p>
      <w:pPr>
        <w:pStyle w:val="Heading3"/>
      </w:pPr>
      <w:r>
        <w:t xml:space="preserve">Description (Google allows up to 750 characters)</w:t>
      </w:r>
    </w:p>
    <w:p>
      <w:pPr>
        <w:spacing w:after="150" w:line="274"/>
      </w:pPr>
      <w:r>
        <w:t xml:space="preserve">Business Executive Group is an authorized iSolved partner and managed HR provider serving Dallas-Fort Worth and companies nationwide. We deliver fully managed payroll, the iSolved HCM platform for payroll, HR, time, and benefits, and specialized job placement. BEG implements, configures, and supports the platform for you, so you are never left to run it alone. iSolved is the only HCM platform with a Connector for Claude, letting your team complete HR tasks through conversation. Backed by a network of more than 1,500 entrepreneurs, BEG pairs enterprise-grade technology with local, year-round support. Book a 15-minute discovery call at beghr.com.</w:t>
      </w:r>
    </w:p>
    <w:p>
      <w:pPr>
        <w:pStyle w:val="Heading3"/>
      </w:pPr>
      <w:r>
        <w:t xml:space="preserve">Services to list</w:t>
      </w:r>
    </w:p>
    <w:p>
      <w:pPr>
        <w:spacing w:after="150" w:line="274"/>
      </w:pPr>
      <w:r>
        <w:t xml:space="preserve">Managed payroll, HCM software implementation, iSolved reseller, HR outsourcing, job placement, payroll tax filing, benefits administration.</w:t>
      </w:r>
    </w:p>
    <w:p>
      <w:pPr>
        <w:pStyle w:val="Heading2"/>
      </w:pPr>
      <w:r>
        <w:t xml:space="preserve">9.3 iSolved Partner-Link Request Email</w:t>
      </w:r>
    </w:p>
    <w:p>
      <w:pPr>
        <w:spacing w:after="150" w:line="274"/>
      </w:pPr>
      <w:r>
        <w:rPr>
          <w:color w:val="666666"/>
        </w:rPr>
        <w:t xml:space="preserve">Send from Anthony to your iSolved channel or partner-marketing contact. Hold for approval before sending. Goal: a link from isolvedhcm.com (DR 71) plus any partner-locator listing.</w:t>
      </w:r>
    </w:p>
    <w:p>
      <w:pPr>
        <w:spacing w:after="150" w:line="274"/>
      </w:pPr>
      <w:r>
        <w:rPr>
          <w:b/>
          <w:bCs/>
        </w:rPr>
        <w:t xml:space="preserve">Subject: </w:t>
      </w:r>
      <w:r>
        <w:t xml:space="preserve">BEG partner listing and link request for the iSolved partner directory</w:t>
      </w:r>
    </w:p>
    <w:p>
      <w:pPr>
        <w:spacing w:after="150" w:line="274"/>
      </w:pPr>
      <w:r>
        <w:t xml:space="preserve">Hi [Name],</w:t>
      </w:r>
    </w:p>
    <w:p>
      <w:pPr>
        <w:spacing w:after="150" w:line="274"/>
      </w:pPr>
      <w:r>
        <w:t xml:space="preserve">As an authorized iSolved partner, BEG has built out beghr.com with a deep library of iSolved-focused content, including platform comparisons, industry guides, and tools like an iSolved ROI calculator and an AI readiness scorecard built around the Connector for Claude.</w:t>
      </w:r>
    </w:p>
    <w:p>
      <w:pPr>
        <w:spacing w:after="150" w:line="274"/>
      </w:pPr>
      <w:r>
        <w:t xml:space="preserve">Could you add Business Executive Group to the iSolved partner directory and any partner-locator pages, with a link to https://beghr.com? It helps buyers find a local implementation and support partner, and it strengthens both of our search footprints.</w:t>
      </w:r>
    </w:p>
    <w:p>
      <w:pPr>
        <w:spacing w:after="150" w:line="274"/>
      </w:pPr>
      <w:r>
        <w:t xml:space="preserve">Happy to return the favor with a prominent link to iSolved from our HCM pages, and to share the content we have published in case it is useful for your team. Thank you.</w:t>
      </w:r>
    </w:p>
    <w:p>
      <w:pPr>
        <w:spacing w:after="150" w:line="274"/>
      </w:pPr>
      <w:r>
        <w:t xml:space="preserve">Anthony Moretti, VP of Sales, Business Executive Group, beghr.com, 469-412-1204</w:t>
      </w:r>
    </w:p>
    <w:p>
      <w:r>
        <w:br w:type="page"/>
      </w:r>
    </w:p>
    <w:p>
      <w:pPr>
        <w:pStyle w:val="Heading1"/>
      </w:pPr>
      <w:r>
        <w:t xml:space="preserve">10. Lead Magnet and Resource URL List</w:t>
      </w:r>
    </w:p>
    <w:p>
      <w:pPr>
        <w:spacing w:after="150" w:line="274"/>
      </w:pPr>
      <w:r>
        <w:t xml:space="preserve">Every interactive tool and resource currently live, for quick access and for sharing in outreach, social posts, and directory profiles.</w:t>
      </w:r>
    </w:p>
    <w:p>
      <w:pPr>
        <w:pStyle w:val="Heading3"/>
      </w:pPr>
      <w:r>
        <w:t xml:space="preserve">Interactive tools and lead magnets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000000" w:val="clear"/>
            <w:tcMar>
              <w:top w:type="dxa" w:w="70"/>
              <w:left w:type="dxa" w:w="110"/>
              <w:bottom w:type="dxa" w:w="70"/>
              <w:right w:type="dxa" w:w="110"/>
            </w:tcMar>
          </w:tcPr>
          <w:p>
            <w:r>
              <w:rPr>
                <w:b/>
                <w:bCs/>
                <w:color w:val="FFFFFF"/>
                <w:sz w:val="19"/>
                <w:szCs w:val="19"/>
              </w:rPr>
              <w:t xml:space="preserve">Asset</w:t>
            </w:r>
          </w:p>
        </w:tc>
        <w:tc>
          <w:tcPr>
            <w:tcW w:type="dxa" w:w="5960"/>
            <w:tcBorders>
              <w:top w:val="single" w:color="CCCCCC" w:sz="1"/>
              <w:left w:val="single" w:color="CCCCCC" w:sz="1"/>
              <w:bottom w:val="single" w:color="CCCCCC" w:sz="1"/>
              <w:right w:val="single" w:color="CCCCCC" w:sz="1"/>
            </w:tcBorders>
            <w:shd w:fill="000000" w:val="clear"/>
            <w:tcMar>
              <w:top w:type="dxa" w:w="70"/>
              <w:left w:type="dxa" w:w="110"/>
              <w:bottom w:type="dxa" w:w="70"/>
              <w:right w:type="dxa" w:w="110"/>
            </w:tcMar>
          </w:tcPr>
          <w:p>
            <w:r>
              <w:rPr>
                <w:b/>
                <w:bCs/>
                <w:color w:val="FFFFFF"/>
                <w:sz w:val="19"/>
                <w:szCs w:val="19"/>
              </w:rPr>
              <w:t xml:space="preserve">URL</w:t>
            </w:r>
          </w:p>
        </w:tc>
      </w:tr>
      <w:tr>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HCM ROI Calculator</w:t>
            </w:r>
          </w:p>
        </w:tc>
        <w:tc>
          <w:tcPr>
            <w:tcW w:type="dxa" w:w="5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https://beghr.com/services/hcm-software/roi-calculator</w:t>
            </w:r>
          </w:p>
        </w:tc>
      </w:tr>
      <w:tr>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AI HR Readiness Scorecard</w:t>
            </w:r>
          </w:p>
        </w:tc>
        <w:tc>
          <w:tcPr>
            <w:tcW w:type="dxa" w:w="5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https://beghr.com/services/hcm-software/ai-readiness-scorecard</w:t>
            </w:r>
          </w:p>
        </w:tc>
      </w:tr>
      <w:tr>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HCM Platform Finder (Which HCM Fits You)</w:t>
            </w:r>
          </w:p>
        </w:tc>
        <w:tc>
          <w:tcPr>
            <w:tcW w:type="dxa" w:w="5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https://beghr.com/services/hcm-software/platform-finder</w:t>
            </w:r>
          </w:p>
        </w:tc>
      </w:tr>
      <w:tr>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Managed Payroll Cost Calculator</w:t>
            </w:r>
          </w:p>
        </w:tc>
        <w:tc>
          <w:tcPr>
            <w:tcW w:type="dxa" w:w="5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https://beghr.com/services/managed-payroll/cost-calculator</w:t>
            </w:r>
          </w:p>
        </w:tc>
      </w:tr>
      <w:tr>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Payroll Complexity Scorer</w:t>
            </w:r>
          </w:p>
        </w:tc>
        <w:tc>
          <w:tcPr>
            <w:tcW w:type="dxa" w:w="5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https://beghr.com/resources/complexity-scorer</w:t>
            </w:r>
          </w:p>
        </w:tc>
      </w:tr>
      <w:tr>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iSolved Connector for Claude (pillar)</w:t>
            </w:r>
          </w:p>
        </w:tc>
        <w:tc>
          <w:tcPr>
            <w:tcW w:type="dxa" w:w="5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https://beghr.com/services/hcm-software/ai-connector</w:t>
            </w:r>
          </w:p>
        </w:tc>
      </w:tr>
    </w:tbl>
    <w:p>
      <w:pPr>
        <w:spacing w:after="120"/>
      </w:pPr>
      <w:r>
        <w:t xml:space="preserve"/>
      </w:r>
    </w:p>
    <w:p>
      <w:pPr>
        <w:pStyle w:val="Heading3"/>
      </w:pPr>
      <w:r>
        <w:t xml:space="preserve">Resource hubs and guides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000000" w:val="clear"/>
            <w:tcMar>
              <w:top w:type="dxa" w:w="70"/>
              <w:left w:type="dxa" w:w="110"/>
              <w:bottom w:type="dxa" w:w="70"/>
              <w:right w:type="dxa" w:w="110"/>
            </w:tcMar>
          </w:tcPr>
          <w:p>
            <w:r>
              <w:rPr>
                <w:b/>
                <w:bCs/>
                <w:color w:val="FFFFFF"/>
                <w:sz w:val="19"/>
                <w:szCs w:val="19"/>
              </w:rPr>
              <w:t xml:space="preserve">Resource</w:t>
            </w:r>
          </w:p>
        </w:tc>
        <w:tc>
          <w:tcPr>
            <w:tcW w:type="dxa" w:w="5960"/>
            <w:tcBorders>
              <w:top w:val="single" w:color="CCCCCC" w:sz="1"/>
              <w:left w:val="single" w:color="CCCCCC" w:sz="1"/>
              <w:bottom w:val="single" w:color="CCCCCC" w:sz="1"/>
              <w:right w:val="single" w:color="CCCCCC" w:sz="1"/>
            </w:tcBorders>
            <w:shd w:fill="000000" w:val="clear"/>
            <w:tcMar>
              <w:top w:type="dxa" w:w="70"/>
              <w:left w:type="dxa" w:w="110"/>
              <w:bottom w:type="dxa" w:w="70"/>
              <w:right w:type="dxa" w:w="110"/>
            </w:tcMar>
          </w:tcPr>
          <w:p>
            <w:r>
              <w:rPr>
                <w:b/>
                <w:bCs/>
                <w:color w:val="FFFFFF"/>
                <w:sz w:val="19"/>
                <w:szCs w:val="19"/>
              </w:rPr>
              <w:t xml:space="preserve">URL</w:t>
            </w:r>
          </w:p>
        </w:tc>
      </w:tr>
      <w:tr>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Resources hub</w:t>
            </w:r>
          </w:p>
        </w:tc>
        <w:tc>
          <w:tcPr>
            <w:tcW w:type="dxa" w:w="5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https://beghr.com/resources</w:t>
            </w:r>
          </w:p>
        </w:tc>
      </w:tr>
      <w:tr>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Calculators hub</w:t>
            </w:r>
          </w:p>
        </w:tc>
        <w:tc>
          <w:tcPr>
            <w:tcW w:type="dxa" w:w="5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https://beghr.com/resources/calculators</w:t>
            </w:r>
          </w:p>
        </w:tc>
      </w:tr>
      <w:tr>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Guides hub</w:t>
            </w:r>
          </w:p>
        </w:tc>
        <w:tc>
          <w:tcPr>
            <w:tcW w:type="dxa" w:w="5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https://beghr.com/resources/guides</w:t>
            </w:r>
          </w:p>
        </w:tc>
      </w:tr>
      <w:tr>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Managed Payroll Buyers Guide</w:t>
            </w:r>
          </w:p>
        </w:tc>
        <w:tc>
          <w:tcPr>
            <w:tcW w:type="dxa" w:w="5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https://beghr.com/resources/guides/managed-payroll-buyers-guide</w:t>
            </w:r>
          </w:p>
        </w:tc>
      </w:tr>
      <w:tr>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Year-End Payroll Checklist</w:t>
            </w:r>
          </w:p>
        </w:tc>
        <w:tc>
          <w:tcPr>
            <w:tcW w:type="dxa" w:w="59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https://beghr.com/resources/guides/year-end-payroll-checklist</w:t>
            </w:r>
          </w:p>
        </w:tc>
      </w:tr>
    </w:tbl>
    <w:p>
      <w:pPr>
        <w:spacing w:after="120"/>
      </w:pPr>
      <w:r>
        <w:t xml:space="preserve"/>
      </w:r>
    </w:p>
    <w:p>
      <w:pPr>
        <w:spacing w:after="150" w:line="274"/>
      </w:pPr>
      <w:r>
        <w:rPr>
          <w:i/>
          <w:iCs/>
          <w:color w:val="666666"/>
          <w:sz w:val="18"/>
          <w:szCs w:val="18"/>
        </w:rPr>
        <w:t xml:space="preserve">Sources and methodology: Domain Rating figures pulled from Ahrefs in June 2026. Tactics and budget ranges reflect standard SEO and digital-PR practice, framed to BEG assets, network, and current stage.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CONFIDENTIAL — Prepared by Claude for Anthony Moretti  |  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BEG · Domain Authority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CAC60" w:sz="6" w:space="4"/>
      </w:pBdr>
      <w:spacing w:after="150" w:before="280"/>
      <w:outlineLvl w:val="0"/>
    </w:pPr>
    <w:rPr>
      <w:rFonts w:ascii="Arial" w:cs="Arial" w:eastAsia="Arial" w:hAnsi="Arial"/>
      <w:b/>
      <w:bCs/>
      <w:color w:val="000000"/>
      <w:sz w:val="32"/>
      <w:szCs w:val="32"/>
    </w:rPr>
  </w:style>
  <w:style w:type="paragraph" w:styleId="Heading2">
    <w:name w:val="Heading 2"/>
    <w:basedOn w:val="Normal"/>
    <w:next w:val="Normal"/>
    <w:qFormat/>
    <w:pPr>
      <w:spacing w:after="110" w:before="220"/>
      <w:outlineLvl w:val="1"/>
    </w:pPr>
    <w:rPr>
      <w:rFonts w:ascii="Arial" w:cs="Arial" w:eastAsia="Arial" w:hAnsi="Arial"/>
      <w:b/>
      <w:bCs/>
      <w:color w:val="000000"/>
      <w:sz w:val="26"/>
      <w:szCs w:val="26"/>
    </w:rPr>
  </w:style>
  <w:style w:type="paragraph" w:styleId="Heading3">
    <w:name w:val="Heading 3"/>
    <w:basedOn w:val="Normal"/>
    <w:next w:val="Normal"/>
    <w:qFormat/>
    <w:pPr>
      <w:spacing w:after="70" w:before="150"/>
      <w:outlineLvl w:val="2"/>
    </w:pPr>
    <w:rPr>
      <w:rFonts w:ascii="Arial" w:cs="Arial" w:eastAsia="Arial" w:hAnsi="Arial"/>
      <w:b/>
      <w:bCs/>
      <w:color w:val="8A6B2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Domain Authority on a Budget</dc:title>
  <dc:creator>Claude for BEG</dc:creator>
  <cp:lastModifiedBy>Un-named</cp:lastModifiedBy>
  <cp:revision>1</cp:revision>
  <dcterms:created xsi:type="dcterms:W3CDTF">2026-06-28T15:36:44.148Z</dcterms:created>
  <dcterms:modified xsi:type="dcterms:W3CDTF">2026-06-28T15:36:44.149Z</dcterms:modified>
</cp:coreProperties>
</file>

<file path=docProps/custom.xml><?xml version="1.0" encoding="utf-8"?>
<Properties xmlns="http://schemas.openxmlformats.org/officeDocument/2006/custom-properties" xmlns:vt="http://schemas.openxmlformats.org/officeDocument/2006/docPropsVTypes"/>
</file>