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4E5BB" w14:textId="68C8277E" w:rsidR="001B6C6D" w:rsidRPr="005A3A09" w:rsidRDefault="001B6C6D">
      <w:pPr>
        <w:rPr>
          <w:rFonts w:ascii="Garamond" w:hAnsi="Garamond"/>
          <w:b/>
          <w:bCs/>
          <w:sz w:val="32"/>
          <w:szCs w:val="32"/>
        </w:rPr>
      </w:pPr>
      <w:r w:rsidRPr="005A3A09">
        <w:rPr>
          <w:rFonts w:ascii="Garamond" w:hAnsi="Garamond"/>
          <w:b/>
          <w:bCs/>
          <w:sz w:val="32"/>
          <w:szCs w:val="32"/>
        </w:rPr>
        <w:t>Project Description</w:t>
      </w:r>
    </w:p>
    <w:p w14:paraId="08D14DE2" w14:textId="77777777" w:rsidR="001B6C6D" w:rsidRDefault="001B6C6D">
      <w:pPr>
        <w:rPr>
          <w:rFonts w:ascii="Garamond" w:hAnsi="Garamond"/>
          <w:sz w:val="32"/>
          <w:szCs w:val="32"/>
        </w:rPr>
      </w:pPr>
    </w:p>
    <w:p w14:paraId="4854354A" w14:textId="618D2069" w:rsidR="001B6C6D" w:rsidRPr="001B6C6D" w:rsidRDefault="001B6C6D">
      <w:pPr>
        <w:rPr>
          <w:rFonts w:ascii="Garamond" w:hAnsi="Garamond"/>
          <w:b/>
          <w:bCs/>
          <w:sz w:val="28"/>
          <w:szCs w:val="28"/>
        </w:rPr>
      </w:pPr>
      <w:r w:rsidRPr="001B6C6D">
        <w:rPr>
          <w:rFonts w:ascii="Garamond" w:hAnsi="Garamond"/>
          <w:b/>
          <w:bCs/>
          <w:sz w:val="28"/>
          <w:szCs w:val="28"/>
        </w:rPr>
        <w:t xml:space="preserve">Topic: </w:t>
      </w:r>
    </w:p>
    <w:p w14:paraId="20319672" w14:textId="46B01ECC" w:rsidR="001B6C6D" w:rsidRDefault="001B6C6D">
      <w:pPr>
        <w:rPr>
          <w:rFonts w:ascii="Garamond" w:hAnsi="Garamond"/>
        </w:rPr>
      </w:pPr>
      <w:r w:rsidRPr="001B6C6D">
        <w:rPr>
          <w:rFonts w:ascii="Garamond" w:hAnsi="Garamond"/>
        </w:rPr>
        <w:t xml:space="preserve">Internet </w:t>
      </w:r>
      <w:r w:rsidR="00063FEF">
        <w:rPr>
          <w:rFonts w:ascii="Garamond" w:hAnsi="Garamond"/>
        </w:rPr>
        <w:t>u</w:t>
      </w:r>
      <w:r w:rsidRPr="001B6C6D">
        <w:rPr>
          <w:rFonts w:ascii="Garamond" w:hAnsi="Garamond"/>
        </w:rPr>
        <w:t>sage and its effects on mental health</w:t>
      </w:r>
    </w:p>
    <w:p w14:paraId="22FF700A" w14:textId="77777777" w:rsidR="001B6C6D" w:rsidRDefault="001B6C6D">
      <w:pPr>
        <w:rPr>
          <w:rFonts w:ascii="Garamond" w:hAnsi="Garamond"/>
        </w:rPr>
      </w:pPr>
    </w:p>
    <w:p w14:paraId="5DA31ABD" w14:textId="0C6C1DED" w:rsidR="001B6C6D" w:rsidRDefault="001B6C6D">
      <w:pPr>
        <w:rPr>
          <w:rFonts w:ascii="Garamond" w:hAnsi="Garamond"/>
        </w:rPr>
      </w:pPr>
      <w:r w:rsidRPr="001B6C6D">
        <w:rPr>
          <w:rFonts w:ascii="Garamond" w:hAnsi="Garamond"/>
          <w:b/>
          <w:bCs/>
          <w:sz w:val="28"/>
          <w:szCs w:val="28"/>
        </w:rPr>
        <w:t>Why it matters:</w:t>
      </w:r>
      <w:r w:rsidRPr="001B6C6D">
        <w:rPr>
          <w:rFonts w:ascii="Garamond" w:hAnsi="Garamond"/>
        </w:rPr>
        <w:br/>
        <w:t>The widespread use of online interactions, social media, and digital platforms connects individuals but also exposes them to new stressors. Studying the impact of internet use on mental health is crucial for several reasons. Firstly, it helps identify risks like cyberbullying and social comparison. Secondly, it enables the development of interventions to mitigate negative effects and promote positive online experiences. Lastly, in the rapidly evolving digital landscape, such research allows for adapting mental health support strategies to meet the changing needs of individuals.</w:t>
      </w:r>
    </w:p>
    <w:p w14:paraId="7C501DCF" w14:textId="77777777" w:rsidR="001B6C6D" w:rsidRDefault="001B6C6D">
      <w:pPr>
        <w:rPr>
          <w:rFonts w:ascii="Garamond" w:hAnsi="Garamond"/>
        </w:rPr>
      </w:pPr>
    </w:p>
    <w:p w14:paraId="135203D4" w14:textId="457D4BF9" w:rsidR="001B6C6D" w:rsidRDefault="001B6C6D">
      <w:pPr>
        <w:rPr>
          <w:rFonts w:ascii="Garamond" w:hAnsi="Garamond"/>
          <w:b/>
          <w:bCs/>
          <w:sz w:val="28"/>
          <w:szCs w:val="28"/>
        </w:rPr>
      </w:pPr>
      <w:r w:rsidRPr="001B6C6D">
        <w:rPr>
          <w:rFonts w:ascii="Garamond" w:hAnsi="Garamond"/>
          <w:b/>
          <w:bCs/>
          <w:sz w:val="28"/>
          <w:szCs w:val="28"/>
        </w:rPr>
        <w:t>Research Question</w:t>
      </w:r>
      <w:r>
        <w:rPr>
          <w:rFonts w:ascii="Garamond" w:hAnsi="Garamond"/>
          <w:b/>
          <w:bCs/>
          <w:sz w:val="28"/>
          <w:szCs w:val="28"/>
        </w:rPr>
        <w:t>:</w:t>
      </w:r>
    </w:p>
    <w:p w14:paraId="6D6BE0BA" w14:textId="4A533026" w:rsidR="001B6C6D" w:rsidRPr="001B6C6D" w:rsidRDefault="001B6C6D" w:rsidP="001B6C6D">
      <w:pPr>
        <w:pStyle w:val="Header"/>
        <w:spacing w:line="276" w:lineRule="auto"/>
        <w:rPr>
          <w:rFonts w:ascii="Garamond" w:hAnsi="Garamond" w:cs="Times New Roman"/>
        </w:rPr>
      </w:pPr>
      <w:r w:rsidRPr="005E41B6">
        <w:rPr>
          <w:rFonts w:ascii="Garamond" w:hAnsi="Garamond" w:cs="Times New Roman"/>
        </w:rPr>
        <w:t xml:space="preserve">What are the effects of </w:t>
      </w:r>
      <w:r w:rsidR="00EF7409">
        <w:rPr>
          <w:rFonts w:ascii="Garamond" w:hAnsi="Garamond" w:cs="Times New Roman"/>
        </w:rPr>
        <w:t xml:space="preserve">daily </w:t>
      </w:r>
      <w:r w:rsidRPr="005E41B6">
        <w:rPr>
          <w:rFonts w:ascii="Garamond" w:hAnsi="Garamond" w:cs="Times New Roman"/>
        </w:rPr>
        <w:t xml:space="preserve">screen time on mental health </w:t>
      </w:r>
      <w:r w:rsidR="007577E0">
        <w:rPr>
          <w:rFonts w:ascii="Garamond" w:hAnsi="Garamond" w:cs="Times New Roman"/>
        </w:rPr>
        <w:t xml:space="preserve">at an individual level </w:t>
      </w:r>
      <w:r w:rsidRPr="005E41B6">
        <w:rPr>
          <w:rFonts w:ascii="Garamond" w:hAnsi="Garamond" w:cs="Times New Roman"/>
        </w:rPr>
        <w:t>in the United States?</w:t>
      </w:r>
    </w:p>
    <w:p w14:paraId="362AF7F5" w14:textId="77777777" w:rsidR="001B6C6D" w:rsidRDefault="001B6C6D">
      <w:pPr>
        <w:rPr>
          <w:rFonts w:ascii="Garamond" w:hAnsi="Garamond"/>
          <w:b/>
          <w:bCs/>
          <w:sz w:val="28"/>
          <w:szCs w:val="28"/>
        </w:rPr>
      </w:pPr>
    </w:p>
    <w:p w14:paraId="67CB8448" w14:textId="59E65D84" w:rsidR="001B6C6D" w:rsidRDefault="001B6C6D">
      <w:pPr>
        <w:rPr>
          <w:rFonts w:ascii="Garamond" w:hAnsi="Garamond"/>
          <w:b/>
          <w:bCs/>
          <w:sz w:val="28"/>
          <w:szCs w:val="28"/>
        </w:rPr>
      </w:pPr>
      <w:r w:rsidRPr="001B6C6D">
        <w:rPr>
          <w:rFonts w:ascii="Garamond" w:hAnsi="Garamond"/>
          <w:b/>
          <w:bCs/>
          <w:sz w:val="28"/>
          <w:szCs w:val="28"/>
        </w:rPr>
        <w:t>Motivation</w:t>
      </w:r>
      <w:r>
        <w:rPr>
          <w:rFonts w:ascii="Garamond" w:hAnsi="Garamond"/>
          <w:b/>
          <w:bCs/>
          <w:sz w:val="28"/>
          <w:szCs w:val="28"/>
        </w:rPr>
        <w:t>:</w:t>
      </w:r>
    </w:p>
    <w:p w14:paraId="024D42C3" w14:textId="5854308F" w:rsidR="00C10EF5" w:rsidRDefault="00C10EF5" w:rsidP="00031ED5">
      <w:pPr>
        <w:rPr>
          <w:rFonts w:ascii="Garamond" w:hAnsi="Garamond"/>
        </w:rPr>
      </w:pPr>
      <w:r w:rsidRPr="00C10EF5">
        <w:rPr>
          <w:rFonts w:ascii="Garamond" w:hAnsi="Garamond"/>
        </w:rPr>
        <w:t>In this digitally connected era, marked by an unprecedented surge in screen time, individuals immerse themselves in a myriad of online activities, be it for work, socializing, or leisure. The pervasive nature of this digital shift has fundamentally altered our perceptions and interactions with the world. Notably,</w:t>
      </w:r>
      <w:r w:rsidR="002059C1">
        <w:rPr>
          <w:rFonts w:ascii="Garamond" w:hAnsi="Garamond"/>
        </w:rPr>
        <w:t xml:space="preserve"> COVID-19</w:t>
      </w:r>
      <w:r w:rsidRPr="00C10EF5">
        <w:rPr>
          <w:rFonts w:ascii="Garamond" w:hAnsi="Garamond"/>
        </w:rPr>
        <w:t xml:space="preserve"> with its widespread adoption of remote work and increased reliance on digital platforms for various activities, has accelerated this trend. </w:t>
      </w:r>
      <w:proofErr w:type="gramStart"/>
      <w:r w:rsidR="00031ED5" w:rsidRPr="00031ED5">
        <w:rPr>
          <w:rFonts w:ascii="Garamond" w:hAnsi="Garamond"/>
        </w:rPr>
        <w:t>In the midst of</w:t>
      </w:r>
      <w:proofErr w:type="gramEnd"/>
      <w:r w:rsidR="00031ED5" w:rsidRPr="00031ED5">
        <w:rPr>
          <w:rFonts w:ascii="Garamond" w:hAnsi="Garamond"/>
        </w:rPr>
        <w:t xml:space="preserve"> this transformative period in history, it becomes essential to investigate the ramifications of heightened screen time on mental health.</w:t>
      </w:r>
    </w:p>
    <w:p w14:paraId="370141E2" w14:textId="77777777" w:rsidR="00BB76A5" w:rsidRDefault="00BB76A5" w:rsidP="00C10EF5">
      <w:pPr>
        <w:rPr>
          <w:rFonts w:ascii="Garamond" w:hAnsi="Garamond"/>
        </w:rPr>
      </w:pPr>
    </w:p>
    <w:p w14:paraId="4EEDF8A7" w14:textId="77777777" w:rsidR="00710023" w:rsidRDefault="00B402FF" w:rsidP="00710023">
      <w:pPr>
        <w:rPr>
          <w:rFonts w:ascii="Garamond" w:hAnsi="Garamond"/>
          <w:b/>
          <w:bCs/>
          <w:sz w:val="28"/>
          <w:szCs w:val="28"/>
        </w:rPr>
      </w:pPr>
      <w:r w:rsidRPr="00B402FF">
        <w:rPr>
          <w:rFonts w:ascii="Garamond" w:hAnsi="Garamond"/>
          <w:b/>
          <w:bCs/>
          <w:sz w:val="28"/>
          <w:szCs w:val="28"/>
        </w:rPr>
        <w:t>Description of Dataset</w:t>
      </w:r>
      <w:r w:rsidR="00F22AAF">
        <w:rPr>
          <w:rFonts w:ascii="Garamond" w:hAnsi="Garamond"/>
          <w:b/>
          <w:bCs/>
          <w:sz w:val="28"/>
          <w:szCs w:val="28"/>
        </w:rPr>
        <w:t>s</w:t>
      </w:r>
      <w:r w:rsidRPr="00B402FF">
        <w:rPr>
          <w:rFonts w:ascii="Garamond" w:hAnsi="Garamond"/>
          <w:b/>
          <w:bCs/>
          <w:sz w:val="28"/>
          <w:szCs w:val="28"/>
        </w:rPr>
        <w:t>:</w:t>
      </w:r>
    </w:p>
    <w:p w14:paraId="37647B95" w14:textId="716CDEF2" w:rsidR="00710023" w:rsidRDefault="00710023" w:rsidP="00710023">
      <w:pPr>
        <w:rPr>
          <w:rFonts w:ascii="Garamond" w:hAnsi="Garamond" w:cs="Times New Roman"/>
        </w:rPr>
      </w:pPr>
      <w:r w:rsidRPr="005E41B6">
        <w:rPr>
          <w:rFonts w:ascii="Garamond" w:hAnsi="Garamond" w:cs="Times New Roman"/>
        </w:rPr>
        <w:t>The Research and Development Survey (RANDS) is a series of cross-sectional surveys initiated in 2015 using probability-sampled commercial survey panels. These surveys have been integral for methodological research at the National Center for Health Statistics (NCHS), focusing on question-response patterns and statistical methodology for survey estimate calibration. Seven rounds of surveys have been conducted, spanning from 2015 to 2022 and covering various health-related topics. The data from RANDS 1</w:t>
      </w:r>
      <w:r w:rsidR="00294F7C">
        <w:rPr>
          <w:rFonts w:ascii="Garamond" w:hAnsi="Garamond" w:cs="Times New Roman"/>
        </w:rPr>
        <w:t xml:space="preserve"> </w:t>
      </w:r>
      <w:r w:rsidR="00412906">
        <w:rPr>
          <w:rFonts w:ascii="Garamond" w:hAnsi="Garamond" w:cs="Times New Roman"/>
        </w:rPr>
        <w:t xml:space="preserve">(2015) </w:t>
      </w:r>
      <w:r w:rsidR="00294F7C">
        <w:rPr>
          <w:rFonts w:ascii="Garamond" w:hAnsi="Garamond" w:cs="Times New Roman"/>
        </w:rPr>
        <w:t xml:space="preserve">and </w:t>
      </w:r>
      <w:r w:rsidR="002F3FA2">
        <w:rPr>
          <w:rFonts w:ascii="Garamond" w:hAnsi="Garamond" w:cs="Times New Roman"/>
        </w:rPr>
        <w:t xml:space="preserve">RANDS </w:t>
      </w:r>
      <w:r w:rsidR="00AC17EF">
        <w:rPr>
          <w:rFonts w:ascii="Garamond" w:hAnsi="Garamond" w:cs="Times New Roman"/>
        </w:rPr>
        <w:t xml:space="preserve">2 </w:t>
      </w:r>
      <w:r w:rsidR="00412906">
        <w:rPr>
          <w:rFonts w:ascii="Garamond" w:hAnsi="Garamond" w:cs="Times New Roman"/>
        </w:rPr>
        <w:t xml:space="preserve">(2016) </w:t>
      </w:r>
      <w:r w:rsidR="00294F7C">
        <w:rPr>
          <w:rFonts w:ascii="Garamond" w:hAnsi="Garamond" w:cs="Times New Roman"/>
        </w:rPr>
        <w:t>are</w:t>
      </w:r>
      <w:r w:rsidRPr="005E41B6">
        <w:rPr>
          <w:rFonts w:ascii="Garamond" w:hAnsi="Garamond" w:cs="Times New Roman"/>
        </w:rPr>
        <w:t xml:space="preserve"> utilized as pre-COVID-19 data in this study</w:t>
      </w:r>
      <w:r w:rsidR="00CA756B">
        <w:rPr>
          <w:rStyle w:val="FootnoteReference"/>
          <w:rFonts w:ascii="Garamond" w:hAnsi="Garamond" w:cs="Times New Roman"/>
        </w:rPr>
        <w:footnoteReference w:id="1"/>
      </w:r>
      <w:r w:rsidRPr="005E41B6">
        <w:rPr>
          <w:rFonts w:ascii="Garamond" w:hAnsi="Garamond" w:cs="Times New Roman"/>
        </w:rPr>
        <w:t xml:space="preserve">. </w:t>
      </w:r>
    </w:p>
    <w:p w14:paraId="49A1F2EC" w14:textId="77777777" w:rsidR="00710023" w:rsidRPr="00710023" w:rsidRDefault="00710023" w:rsidP="00710023">
      <w:pPr>
        <w:rPr>
          <w:rFonts w:ascii="Garamond" w:hAnsi="Garamond"/>
          <w:b/>
          <w:bCs/>
          <w:sz w:val="28"/>
          <w:szCs w:val="28"/>
        </w:rPr>
      </w:pPr>
    </w:p>
    <w:p w14:paraId="795F8414" w14:textId="5AF008E0" w:rsidR="00710023" w:rsidRDefault="00710023" w:rsidP="00710023">
      <w:pPr>
        <w:pStyle w:val="Header"/>
        <w:spacing w:line="276" w:lineRule="auto"/>
        <w:rPr>
          <w:rFonts w:ascii="Garamond" w:hAnsi="Garamond" w:cs="Times New Roman"/>
        </w:rPr>
      </w:pPr>
      <w:r w:rsidRPr="005E41B6">
        <w:rPr>
          <w:rFonts w:ascii="Garamond" w:hAnsi="Garamond" w:cs="Times New Roman"/>
        </w:rPr>
        <w:t>Additionally, Pew Research Center's American Trends Panel (ATP) proved valuable for individual-level data on this subject. The ATP is a nationally representative panel survey initiated in 2014, covering diverse topics including technology use, social trends, and political views. This dataset consists of 102 waves, with relevant waves for this research being wave 72 and wave 93</w:t>
      </w:r>
      <w:r w:rsidR="0030210B">
        <w:rPr>
          <w:rStyle w:val="FootnoteReference"/>
          <w:rFonts w:ascii="Garamond" w:hAnsi="Garamond" w:cs="Times New Roman"/>
        </w:rPr>
        <w:footnoteReference w:id="2"/>
      </w:r>
      <w:r w:rsidRPr="005E41B6">
        <w:rPr>
          <w:rFonts w:ascii="Garamond" w:hAnsi="Garamond" w:cs="Times New Roman"/>
        </w:rPr>
        <w:t>.</w:t>
      </w:r>
      <w:r>
        <w:rPr>
          <w:rFonts w:ascii="Garamond" w:hAnsi="Garamond" w:cs="Times New Roman"/>
        </w:rPr>
        <w:t xml:space="preserve"> </w:t>
      </w:r>
    </w:p>
    <w:p w14:paraId="0F7284FC" w14:textId="28E2E1A5" w:rsidR="00710023" w:rsidRDefault="00710023" w:rsidP="0030210B">
      <w:pPr>
        <w:pStyle w:val="Header"/>
        <w:spacing w:line="276" w:lineRule="auto"/>
        <w:rPr>
          <w:rFonts w:ascii="Garamond" w:hAnsi="Garamond" w:cs="Times New Roman"/>
        </w:rPr>
      </w:pPr>
      <w:r w:rsidRPr="00EF47CC">
        <w:rPr>
          <w:rFonts w:ascii="Garamond" w:hAnsi="Garamond" w:cs="Times New Roman"/>
        </w:rPr>
        <w:lastRenderedPageBreak/>
        <w:t>In summary, RANDS offers targeted health-related data pre-COVID-19, while ATP provides a broader range of data, including internet usage trends during the pandemic. Both datasets contribute to understanding different aspects of individuals' behaviors and conditions, providing valuable insights for research and analysis.</w:t>
      </w:r>
    </w:p>
    <w:p w14:paraId="61C76F6C" w14:textId="77777777" w:rsidR="00F25CB8" w:rsidRDefault="00F25CB8" w:rsidP="0030210B">
      <w:pPr>
        <w:pStyle w:val="Header"/>
        <w:spacing w:line="276" w:lineRule="auto"/>
        <w:rPr>
          <w:rFonts w:ascii="Garamond" w:hAnsi="Garamond" w:cs="Times New Roman"/>
        </w:rPr>
      </w:pPr>
    </w:p>
    <w:p w14:paraId="1C0FE1D0" w14:textId="77777777" w:rsidR="00F25CB8" w:rsidRDefault="00F25CB8" w:rsidP="0030210B">
      <w:pPr>
        <w:pStyle w:val="Header"/>
        <w:spacing w:line="276" w:lineRule="auto"/>
        <w:rPr>
          <w:rFonts w:ascii="Garamond" w:hAnsi="Garamond" w:cs="Times New Roman"/>
        </w:rPr>
      </w:pPr>
    </w:p>
    <w:p w14:paraId="1E98B2B4" w14:textId="4C7DBCE9" w:rsidR="00F25CB8" w:rsidRDefault="00F25CB8" w:rsidP="0030210B">
      <w:pPr>
        <w:pStyle w:val="Header"/>
        <w:spacing w:line="276" w:lineRule="auto"/>
        <w:rPr>
          <w:rFonts w:ascii="Garamond" w:hAnsi="Garamond" w:cs="Times New Roman"/>
          <w:b/>
          <w:bCs/>
          <w:sz w:val="32"/>
          <w:szCs w:val="32"/>
        </w:rPr>
      </w:pPr>
      <w:r w:rsidRPr="00F25CB8">
        <w:rPr>
          <w:rFonts w:ascii="Garamond" w:hAnsi="Garamond" w:cs="Times New Roman"/>
          <w:b/>
          <w:bCs/>
          <w:sz w:val="32"/>
          <w:szCs w:val="32"/>
        </w:rPr>
        <w:t>Data Processing</w:t>
      </w:r>
    </w:p>
    <w:p w14:paraId="7FAD4344" w14:textId="77777777" w:rsidR="00EB46D2" w:rsidRDefault="00EB46D2" w:rsidP="0030210B">
      <w:pPr>
        <w:pStyle w:val="Header"/>
        <w:spacing w:line="276" w:lineRule="auto"/>
        <w:rPr>
          <w:rFonts w:ascii="Garamond" w:hAnsi="Garamond" w:cs="Times New Roman"/>
          <w:b/>
          <w:bCs/>
          <w:sz w:val="32"/>
          <w:szCs w:val="32"/>
        </w:rPr>
      </w:pPr>
    </w:p>
    <w:p w14:paraId="3510270A" w14:textId="782D1251" w:rsidR="006B72EC" w:rsidRDefault="00EB46D2" w:rsidP="0030210B">
      <w:pPr>
        <w:pStyle w:val="Header"/>
        <w:spacing w:line="276" w:lineRule="auto"/>
        <w:rPr>
          <w:rFonts w:ascii="Garamond" w:hAnsi="Garamond" w:cs="Times New Roman"/>
          <w:b/>
          <w:bCs/>
          <w:sz w:val="28"/>
          <w:szCs w:val="28"/>
        </w:rPr>
      </w:pPr>
      <w:r w:rsidRPr="00EB46D2">
        <w:rPr>
          <w:rFonts w:ascii="Garamond" w:hAnsi="Garamond" w:cs="Times New Roman"/>
          <w:b/>
          <w:bCs/>
          <w:sz w:val="28"/>
          <w:szCs w:val="28"/>
        </w:rPr>
        <w:t>Overview:</w:t>
      </w:r>
    </w:p>
    <w:p w14:paraId="47547569" w14:textId="427C6119" w:rsidR="00BF2739" w:rsidRDefault="00232C91" w:rsidP="00CF3DE1">
      <w:pPr>
        <w:spacing w:line="276" w:lineRule="auto"/>
        <w:rPr>
          <w:rFonts w:ascii="Garamond" w:hAnsi="Garamond" w:cs="Times New Roman"/>
          <w:color w:val="000000" w:themeColor="text1"/>
        </w:rPr>
      </w:pPr>
      <w:r>
        <w:rPr>
          <w:rFonts w:ascii="Garamond" w:hAnsi="Garamond" w:cs="Times New Roman"/>
          <w:color w:val="000000" w:themeColor="text1"/>
        </w:rPr>
        <w:t>It is important to note that a</w:t>
      </w:r>
      <w:r w:rsidR="00A974E7">
        <w:rPr>
          <w:rFonts w:ascii="Garamond" w:hAnsi="Garamond" w:cs="Times New Roman"/>
          <w:color w:val="000000" w:themeColor="text1"/>
        </w:rPr>
        <w:t>fter 2016, RANDS had a change in funding</w:t>
      </w:r>
      <w:r w:rsidR="00E64A03">
        <w:rPr>
          <w:rFonts w:ascii="Garamond" w:hAnsi="Garamond" w:cs="Times New Roman"/>
          <w:color w:val="000000" w:themeColor="text1"/>
        </w:rPr>
        <w:t>. Because of this, internet usage was n</w:t>
      </w:r>
      <w:r w:rsidR="00023AA2">
        <w:rPr>
          <w:rFonts w:ascii="Garamond" w:hAnsi="Garamond" w:cs="Times New Roman"/>
          <w:color w:val="000000" w:themeColor="text1"/>
        </w:rPr>
        <w:t xml:space="preserve">o longer measured. </w:t>
      </w:r>
      <w:r w:rsidR="00840167">
        <w:rPr>
          <w:rFonts w:ascii="Garamond" w:hAnsi="Garamond" w:cs="Times New Roman"/>
          <w:color w:val="000000" w:themeColor="text1"/>
        </w:rPr>
        <w:t xml:space="preserve">If there wasn’t a change in funding, and questions pertaining to internet usage were still present in the survey, I would have selected data closer to the start of COVID-19. </w:t>
      </w:r>
      <w:r w:rsidR="00C506A2">
        <w:rPr>
          <w:rFonts w:ascii="Garamond" w:hAnsi="Garamond" w:cs="Times New Roman"/>
          <w:color w:val="000000" w:themeColor="text1"/>
        </w:rPr>
        <w:t xml:space="preserve">With that, </w:t>
      </w:r>
      <w:r w:rsidR="00C506A2">
        <w:rPr>
          <w:rFonts w:ascii="Garamond" w:hAnsi="Garamond" w:cs="Times New Roman"/>
          <w:color w:val="000000" w:themeColor="text1"/>
        </w:rPr>
        <w:t>a search</w:t>
      </w:r>
      <w:r w:rsidR="00D077AC">
        <w:rPr>
          <w:rFonts w:ascii="Garamond" w:hAnsi="Garamond" w:cs="Times New Roman"/>
          <w:color w:val="000000" w:themeColor="text1"/>
        </w:rPr>
        <w:t xml:space="preserve"> began</w:t>
      </w:r>
      <w:r w:rsidR="00C506A2">
        <w:rPr>
          <w:rFonts w:ascii="Garamond" w:hAnsi="Garamond" w:cs="Times New Roman"/>
          <w:color w:val="000000" w:themeColor="text1"/>
        </w:rPr>
        <w:t xml:space="preserve"> for internet usage data elsewhere. </w:t>
      </w:r>
      <w:r w:rsidR="00B56E2A" w:rsidRPr="001549C9">
        <w:rPr>
          <w:rFonts w:ascii="Garamond" w:hAnsi="Garamond" w:cs="Times New Roman"/>
          <w:color w:val="000000" w:themeColor="text1"/>
        </w:rPr>
        <w:t xml:space="preserve">Many </w:t>
      </w:r>
      <w:r w:rsidR="00ED2A49">
        <w:rPr>
          <w:rFonts w:ascii="Garamond" w:hAnsi="Garamond" w:cs="Times New Roman"/>
          <w:color w:val="000000" w:themeColor="text1"/>
        </w:rPr>
        <w:t xml:space="preserve">other </w:t>
      </w:r>
      <w:r w:rsidR="00B56E2A" w:rsidRPr="001549C9">
        <w:rPr>
          <w:rFonts w:ascii="Garamond" w:hAnsi="Garamond" w:cs="Times New Roman"/>
          <w:color w:val="000000" w:themeColor="text1"/>
        </w:rPr>
        <w:t xml:space="preserve">sources provided only percentage changes, and most data was only available on a country-level basis, which was insufficient for this research's objective. </w:t>
      </w:r>
      <w:r w:rsidR="002B2DCC">
        <w:rPr>
          <w:rFonts w:ascii="Garamond" w:hAnsi="Garamond" w:cs="Times New Roman"/>
          <w:color w:val="000000" w:themeColor="text1"/>
        </w:rPr>
        <w:t>This made it difficult to combine any COVID-19 data</w:t>
      </w:r>
      <w:r w:rsidR="0038181C">
        <w:rPr>
          <w:rFonts w:ascii="Garamond" w:hAnsi="Garamond" w:cs="Times New Roman"/>
          <w:color w:val="000000" w:themeColor="text1"/>
        </w:rPr>
        <w:t xml:space="preserve"> with the RANDS data</w:t>
      </w:r>
      <w:r w:rsidR="002B2DCC">
        <w:rPr>
          <w:rFonts w:ascii="Garamond" w:hAnsi="Garamond" w:cs="Times New Roman"/>
          <w:color w:val="000000" w:themeColor="text1"/>
        </w:rPr>
        <w:t>.</w:t>
      </w:r>
      <w:r w:rsidR="001C7A5F">
        <w:rPr>
          <w:rFonts w:ascii="Garamond" w:hAnsi="Garamond" w:cs="Times New Roman"/>
          <w:color w:val="000000" w:themeColor="text1"/>
        </w:rPr>
        <w:t xml:space="preserve"> </w:t>
      </w:r>
      <w:r w:rsidR="00813435">
        <w:rPr>
          <w:rFonts w:ascii="Garamond" w:hAnsi="Garamond" w:cs="Times New Roman"/>
          <w:color w:val="000000" w:themeColor="text1"/>
        </w:rPr>
        <w:t>Strategies for merging t</w:t>
      </w:r>
      <w:r w:rsidR="00B93EE8">
        <w:rPr>
          <w:rFonts w:ascii="Garamond" w:hAnsi="Garamond" w:cs="Times New Roman"/>
          <w:color w:val="000000" w:themeColor="text1"/>
        </w:rPr>
        <w:t>h</w:t>
      </w:r>
      <w:r w:rsidR="00813435">
        <w:rPr>
          <w:rFonts w:ascii="Garamond" w:hAnsi="Garamond" w:cs="Times New Roman"/>
          <w:color w:val="000000" w:themeColor="text1"/>
        </w:rPr>
        <w:t xml:space="preserve">ese datasets will be discussed later in this </w:t>
      </w:r>
      <w:r w:rsidR="00B93EE8">
        <w:rPr>
          <w:rFonts w:ascii="Garamond" w:hAnsi="Garamond" w:cs="Times New Roman"/>
          <w:color w:val="000000" w:themeColor="text1"/>
        </w:rPr>
        <w:t>section of the paper.</w:t>
      </w:r>
    </w:p>
    <w:p w14:paraId="4A7567AC" w14:textId="77777777" w:rsidR="002318DF" w:rsidRDefault="002318DF" w:rsidP="00FD2430">
      <w:pPr>
        <w:spacing w:line="276" w:lineRule="auto"/>
        <w:ind w:firstLine="360"/>
        <w:rPr>
          <w:rFonts w:ascii="Garamond" w:hAnsi="Garamond" w:cs="Times New Roman"/>
          <w:color w:val="000000" w:themeColor="text1"/>
        </w:rPr>
      </w:pPr>
    </w:p>
    <w:p w14:paraId="336AFE28" w14:textId="4E3B6553" w:rsidR="00EB46D2" w:rsidRDefault="008D066D" w:rsidP="0030210B">
      <w:pPr>
        <w:pStyle w:val="Header"/>
        <w:spacing w:line="276" w:lineRule="auto"/>
        <w:rPr>
          <w:rFonts w:ascii="Garamond" w:hAnsi="Garamond" w:cs="Times New Roman"/>
          <w:b/>
          <w:bCs/>
          <w:sz w:val="28"/>
          <w:szCs w:val="28"/>
        </w:rPr>
      </w:pPr>
      <w:r>
        <w:rPr>
          <w:rFonts w:ascii="Garamond" w:hAnsi="Garamond" w:cs="Times New Roman"/>
          <w:b/>
          <w:bCs/>
          <w:sz w:val="28"/>
          <w:szCs w:val="28"/>
        </w:rPr>
        <w:t>Pre-COVID</w:t>
      </w:r>
      <w:r w:rsidR="006A15F1">
        <w:rPr>
          <w:rFonts w:ascii="Garamond" w:hAnsi="Garamond" w:cs="Times New Roman"/>
          <w:b/>
          <w:bCs/>
          <w:sz w:val="28"/>
          <w:szCs w:val="28"/>
        </w:rPr>
        <w:t>-19 Data:</w:t>
      </w:r>
    </w:p>
    <w:p w14:paraId="13C468DD" w14:textId="3425CE84" w:rsidR="00B70F18" w:rsidRDefault="00592C2E" w:rsidP="0030210B">
      <w:pPr>
        <w:pStyle w:val="Header"/>
        <w:spacing w:line="276" w:lineRule="auto"/>
        <w:rPr>
          <w:rFonts w:ascii="Garamond" w:hAnsi="Garamond" w:cs="Times New Roman"/>
        </w:rPr>
      </w:pPr>
      <w:r w:rsidRPr="006407D7">
        <w:rPr>
          <w:rFonts w:ascii="Garamond" w:hAnsi="Garamond" w:cs="Times New Roman"/>
        </w:rPr>
        <w:t xml:space="preserve">Cleaning and manipulating </w:t>
      </w:r>
      <w:r w:rsidR="00E77586" w:rsidRPr="006407D7">
        <w:rPr>
          <w:rFonts w:ascii="Garamond" w:hAnsi="Garamond" w:cs="Times New Roman"/>
        </w:rPr>
        <w:t>the</w:t>
      </w:r>
      <w:r w:rsidR="00866B8B">
        <w:rPr>
          <w:rFonts w:ascii="Garamond" w:hAnsi="Garamond" w:cs="Times New Roman"/>
        </w:rPr>
        <w:t xml:space="preserve"> two</w:t>
      </w:r>
      <w:r w:rsidR="00E77586" w:rsidRPr="006407D7">
        <w:rPr>
          <w:rFonts w:ascii="Garamond" w:hAnsi="Garamond" w:cs="Times New Roman"/>
        </w:rPr>
        <w:t xml:space="preserve"> </w:t>
      </w:r>
      <w:r w:rsidRPr="006407D7">
        <w:rPr>
          <w:rFonts w:ascii="Garamond" w:hAnsi="Garamond" w:cs="Times New Roman"/>
        </w:rPr>
        <w:t>pre-COVID data</w:t>
      </w:r>
      <w:r w:rsidR="002E6948" w:rsidRPr="006407D7">
        <w:rPr>
          <w:rFonts w:ascii="Garamond" w:hAnsi="Garamond" w:cs="Times New Roman"/>
        </w:rPr>
        <w:t>sets</w:t>
      </w:r>
      <w:r w:rsidRPr="006407D7">
        <w:rPr>
          <w:rFonts w:ascii="Garamond" w:hAnsi="Garamond" w:cs="Times New Roman"/>
        </w:rPr>
        <w:t xml:space="preserve"> were rather straight forward. The </w:t>
      </w:r>
      <w:r w:rsidR="002E6948" w:rsidRPr="006407D7">
        <w:rPr>
          <w:rFonts w:ascii="Garamond" w:hAnsi="Garamond" w:cs="Times New Roman"/>
        </w:rPr>
        <w:t xml:space="preserve">two </w:t>
      </w:r>
      <w:r w:rsidRPr="006407D7">
        <w:rPr>
          <w:rFonts w:ascii="Garamond" w:hAnsi="Garamond" w:cs="Times New Roman"/>
        </w:rPr>
        <w:t xml:space="preserve">original datasets comprised of </w:t>
      </w:r>
      <w:r w:rsidR="008C0F34" w:rsidRPr="006407D7">
        <w:rPr>
          <w:rFonts w:ascii="Garamond" w:hAnsi="Garamond" w:cs="Times New Roman"/>
        </w:rPr>
        <w:t>over 100 variables</w:t>
      </w:r>
      <w:r w:rsidR="002E6948" w:rsidRPr="006407D7">
        <w:rPr>
          <w:rFonts w:ascii="Garamond" w:hAnsi="Garamond" w:cs="Times New Roman"/>
        </w:rPr>
        <w:t>. To minimize noise</w:t>
      </w:r>
      <w:r w:rsidR="00B90512" w:rsidRPr="006407D7">
        <w:rPr>
          <w:rFonts w:ascii="Garamond" w:hAnsi="Garamond" w:cs="Times New Roman"/>
        </w:rPr>
        <w:t xml:space="preserve"> and computation time</w:t>
      </w:r>
      <w:r w:rsidR="002E6948" w:rsidRPr="006407D7">
        <w:rPr>
          <w:rFonts w:ascii="Garamond" w:hAnsi="Garamond" w:cs="Times New Roman"/>
        </w:rPr>
        <w:t>, the data was subset to contain only the necessary variables</w:t>
      </w:r>
      <w:r w:rsidR="00581987" w:rsidRPr="006407D7">
        <w:rPr>
          <w:rFonts w:ascii="Garamond" w:hAnsi="Garamond" w:cs="Times New Roman"/>
        </w:rPr>
        <w:t xml:space="preserve">. This resulted in using 12 variables. Additionally, a year column </w:t>
      </w:r>
      <w:r w:rsidR="00E77586" w:rsidRPr="006407D7">
        <w:rPr>
          <w:rFonts w:ascii="Garamond" w:hAnsi="Garamond" w:cs="Times New Roman"/>
        </w:rPr>
        <w:t xml:space="preserve">was created </w:t>
      </w:r>
      <w:r w:rsidR="00581987" w:rsidRPr="006407D7">
        <w:rPr>
          <w:rFonts w:ascii="Garamond" w:hAnsi="Garamond" w:cs="Times New Roman"/>
        </w:rPr>
        <w:t xml:space="preserve">to distinguish </w:t>
      </w:r>
      <w:r w:rsidR="004E672B" w:rsidRPr="006407D7">
        <w:rPr>
          <w:rFonts w:ascii="Garamond" w:hAnsi="Garamond" w:cs="Times New Roman"/>
        </w:rPr>
        <w:t xml:space="preserve">the data between the two datasets. This was done to compare the demographics </w:t>
      </w:r>
      <w:r w:rsidR="00FB7AC3" w:rsidRPr="006407D7">
        <w:rPr>
          <w:rFonts w:ascii="Garamond" w:hAnsi="Garamond" w:cs="Times New Roman"/>
        </w:rPr>
        <w:t>between the two years to ensure that the populations were similar</w:t>
      </w:r>
      <w:r w:rsidR="00976469" w:rsidRPr="006407D7">
        <w:rPr>
          <w:rFonts w:ascii="Garamond" w:hAnsi="Garamond" w:cs="Times New Roman"/>
        </w:rPr>
        <w:t xml:space="preserve">, making it </w:t>
      </w:r>
      <w:r w:rsidR="004B1C43" w:rsidRPr="006407D7">
        <w:rPr>
          <w:rFonts w:ascii="Garamond" w:hAnsi="Garamond" w:cs="Times New Roman"/>
        </w:rPr>
        <w:t xml:space="preserve">appropriate </w:t>
      </w:r>
      <w:r w:rsidR="00976469" w:rsidRPr="006407D7">
        <w:rPr>
          <w:rFonts w:ascii="Garamond" w:hAnsi="Garamond" w:cs="Times New Roman"/>
        </w:rPr>
        <w:t>to merge the data</w:t>
      </w:r>
      <w:r w:rsidR="004B1C43" w:rsidRPr="006407D7">
        <w:rPr>
          <w:rFonts w:ascii="Garamond" w:hAnsi="Garamond" w:cs="Times New Roman"/>
        </w:rPr>
        <w:t>. Given that both tables had the same columns</w:t>
      </w:r>
      <w:r w:rsidR="00A065E0" w:rsidRPr="006407D7">
        <w:rPr>
          <w:rFonts w:ascii="Garamond" w:hAnsi="Garamond" w:cs="Times New Roman"/>
        </w:rPr>
        <w:t xml:space="preserve"> and response types, t</w:t>
      </w:r>
      <w:r w:rsidR="004B1C43" w:rsidRPr="006407D7">
        <w:rPr>
          <w:rFonts w:ascii="Garamond" w:hAnsi="Garamond" w:cs="Times New Roman"/>
        </w:rPr>
        <w:t xml:space="preserve">he function </w:t>
      </w:r>
      <w:r w:rsidR="00A065E0" w:rsidRPr="00385920">
        <w:rPr>
          <w:rFonts w:ascii="Garamond" w:hAnsi="Garamond" w:cs="Times New Roman"/>
          <w:i/>
          <w:iCs/>
        </w:rPr>
        <w:t>rbind</w:t>
      </w:r>
      <w:r w:rsidR="004B1C43" w:rsidRPr="00385920">
        <w:rPr>
          <w:rFonts w:ascii="Garamond" w:hAnsi="Garamond" w:cs="Times New Roman"/>
          <w:i/>
          <w:iCs/>
        </w:rPr>
        <w:t>()</w:t>
      </w:r>
      <w:r w:rsidR="004B1C43" w:rsidRPr="006407D7">
        <w:rPr>
          <w:rFonts w:ascii="Garamond" w:hAnsi="Garamond" w:cs="Times New Roman"/>
        </w:rPr>
        <w:t xml:space="preserve"> was used to </w:t>
      </w:r>
      <w:r w:rsidR="00520A68" w:rsidRPr="006407D7">
        <w:rPr>
          <w:rFonts w:ascii="Garamond" w:hAnsi="Garamond" w:cs="Times New Roman"/>
        </w:rPr>
        <w:t>combine the data</w:t>
      </w:r>
      <w:r w:rsidR="004B1C43" w:rsidRPr="006407D7">
        <w:rPr>
          <w:rFonts w:ascii="Garamond" w:hAnsi="Garamond" w:cs="Times New Roman"/>
        </w:rPr>
        <w:t xml:space="preserve">. </w:t>
      </w:r>
    </w:p>
    <w:p w14:paraId="64F54978" w14:textId="77777777" w:rsidR="00B70F18" w:rsidRDefault="00B70F18" w:rsidP="0030210B">
      <w:pPr>
        <w:pStyle w:val="Header"/>
        <w:spacing w:line="276" w:lineRule="auto"/>
        <w:rPr>
          <w:rFonts w:ascii="Garamond" w:hAnsi="Garamond" w:cs="Times New Roman"/>
        </w:rPr>
      </w:pPr>
    </w:p>
    <w:p w14:paraId="34EB0836" w14:textId="560423B4" w:rsidR="009D259D" w:rsidRDefault="00A065E0" w:rsidP="0030210B">
      <w:pPr>
        <w:pStyle w:val="Header"/>
        <w:spacing w:line="276" w:lineRule="auto"/>
        <w:rPr>
          <w:rFonts w:ascii="Garamond" w:hAnsi="Garamond" w:cs="Times New Roman"/>
        </w:rPr>
      </w:pPr>
      <w:r w:rsidRPr="006407D7">
        <w:rPr>
          <w:rFonts w:ascii="Garamond" w:hAnsi="Garamond" w:cs="Times New Roman"/>
        </w:rPr>
        <w:t xml:space="preserve">To make the pre-COVID data comparable to the COVID data, </w:t>
      </w:r>
      <w:r w:rsidR="000C3B47" w:rsidRPr="006407D7">
        <w:rPr>
          <w:rFonts w:ascii="Garamond" w:hAnsi="Garamond" w:cs="Times New Roman"/>
        </w:rPr>
        <w:t xml:space="preserve">age ranges were created to match the format of the COVID data. The function </w:t>
      </w:r>
      <w:r w:rsidR="000C3B47" w:rsidRPr="004012DC">
        <w:rPr>
          <w:rFonts w:ascii="Garamond" w:hAnsi="Garamond" w:cs="Times New Roman"/>
          <w:i/>
          <w:iCs/>
        </w:rPr>
        <w:t>cut()</w:t>
      </w:r>
      <w:r w:rsidR="000C3B47" w:rsidRPr="006407D7">
        <w:rPr>
          <w:rFonts w:ascii="Garamond" w:hAnsi="Garamond" w:cs="Times New Roman"/>
        </w:rPr>
        <w:t xml:space="preserve"> was used to </w:t>
      </w:r>
      <w:r w:rsidR="006407D7" w:rsidRPr="006407D7">
        <w:rPr>
          <w:rFonts w:ascii="Garamond" w:hAnsi="Garamond" w:cs="Times New Roman"/>
        </w:rPr>
        <w:t>standardize the data</w:t>
      </w:r>
      <w:r w:rsidR="000C3B47" w:rsidRPr="006407D7">
        <w:rPr>
          <w:rFonts w:ascii="Garamond" w:hAnsi="Garamond" w:cs="Times New Roman"/>
        </w:rPr>
        <w:t xml:space="preserve">. </w:t>
      </w:r>
      <w:r w:rsidR="007D2634" w:rsidRPr="007D2634">
        <w:rPr>
          <w:rFonts w:ascii="Garamond" w:hAnsi="Garamond" w:cs="Times New Roman"/>
        </w:rPr>
        <w:t>The codebook</w:t>
      </w:r>
      <w:r w:rsidR="00871C03">
        <w:rPr>
          <w:rStyle w:val="FootnoteReference"/>
          <w:rFonts w:ascii="Garamond" w:hAnsi="Garamond" w:cs="Times New Roman"/>
        </w:rPr>
        <w:footnoteReference w:id="3"/>
      </w:r>
      <w:r w:rsidR="007D2634" w:rsidRPr="007D2634">
        <w:rPr>
          <w:rFonts w:ascii="Garamond" w:hAnsi="Garamond" w:cs="Times New Roman"/>
        </w:rPr>
        <w:t xml:space="preserve"> for the pre-COVID data indicated that participants could report their internet usage as either daily or weekly. To handle this, vectorized operations and indexing were employed to selectively update elements in the 'AWEBOFNO_N' column based on a condition in the 'AWEBOFNO_F' column. Specifically, when 'AWEBOFNO_F' equaled 2, the corresponding values in 'AWEBOFNO_N' were divided by 7 to standardize the data to a daily level.</w:t>
      </w:r>
      <w:r w:rsidR="00657AAC">
        <w:rPr>
          <w:rFonts w:ascii="Garamond" w:hAnsi="Garamond" w:cs="Times New Roman"/>
        </w:rPr>
        <w:t xml:space="preserve"> </w:t>
      </w:r>
    </w:p>
    <w:p w14:paraId="16DD1015" w14:textId="77777777" w:rsidR="009D259D" w:rsidRDefault="009D259D" w:rsidP="0030210B">
      <w:pPr>
        <w:pStyle w:val="Header"/>
        <w:spacing w:line="276" w:lineRule="auto"/>
        <w:rPr>
          <w:rFonts w:ascii="Garamond" w:hAnsi="Garamond" w:cs="Times New Roman"/>
        </w:rPr>
      </w:pPr>
    </w:p>
    <w:p w14:paraId="577C9C26" w14:textId="35E7AFD6" w:rsidR="006A15F1" w:rsidRDefault="00AD7540" w:rsidP="0030210B">
      <w:pPr>
        <w:pStyle w:val="Header"/>
        <w:spacing w:line="276" w:lineRule="auto"/>
        <w:rPr>
          <w:rFonts w:ascii="Garamond" w:hAnsi="Garamond" w:cs="Times New Roman"/>
        </w:rPr>
      </w:pPr>
      <w:r>
        <w:rPr>
          <w:rFonts w:ascii="Garamond" w:hAnsi="Garamond" w:cs="Times New Roman"/>
        </w:rPr>
        <w:t xml:space="preserve">If the participants </w:t>
      </w:r>
      <w:r w:rsidR="00242135">
        <w:rPr>
          <w:rFonts w:ascii="Garamond" w:hAnsi="Garamond" w:cs="Times New Roman"/>
        </w:rPr>
        <w:t xml:space="preserve">did not answer a question, “.” was recorded as their response.  Given that only a small percentage </w:t>
      </w:r>
      <w:r w:rsidR="00DD4DA3">
        <w:rPr>
          <w:rFonts w:ascii="Garamond" w:hAnsi="Garamond" w:cs="Times New Roman"/>
        </w:rPr>
        <w:t xml:space="preserve">of participants chose to </w:t>
      </w:r>
      <w:r w:rsidR="00B71830">
        <w:rPr>
          <w:rFonts w:ascii="Garamond" w:hAnsi="Garamond" w:cs="Times New Roman"/>
        </w:rPr>
        <w:t xml:space="preserve">not </w:t>
      </w:r>
      <w:r w:rsidR="00DD4DA3">
        <w:rPr>
          <w:rFonts w:ascii="Garamond" w:hAnsi="Garamond" w:cs="Times New Roman"/>
        </w:rPr>
        <w:t xml:space="preserve">respond to certain questions, their </w:t>
      </w:r>
      <w:r w:rsidR="004D7354">
        <w:rPr>
          <w:rFonts w:ascii="Garamond" w:hAnsi="Garamond" w:cs="Times New Roman"/>
        </w:rPr>
        <w:t xml:space="preserve">data was removed from </w:t>
      </w:r>
      <w:r w:rsidR="00F87577">
        <w:rPr>
          <w:rFonts w:ascii="Garamond" w:hAnsi="Garamond" w:cs="Times New Roman"/>
        </w:rPr>
        <w:t xml:space="preserve">the dataset. This was done by using </w:t>
      </w:r>
      <w:r w:rsidR="008F0854" w:rsidRPr="008F0854">
        <w:rPr>
          <w:rFonts w:ascii="Garamond" w:hAnsi="Garamond" w:cs="Times New Roman"/>
        </w:rPr>
        <w:t xml:space="preserve">vectorized operations and logical indexing to filter the </w:t>
      </w:r>
      <w:r w:rsidR="008F0854" w:rsidRPr="008F0854">
        <w:rPr>
          <w:rFonts w:ascii="Garamond" w:hAnsi="Garamond" w:cs="Times New Roman"/>
        </w:rPr>
        <w:lastRenderedPageBreak/>
        <w:t>rows of the data frame based on two conditions: having complete cases and not containing the character "."</w:t>
      </w:r>
      <w:r w:rsidR="00064CE0">
        <w:rPr>
          <w:rFonts w:ascii="Garamond" w:hAnsi="Garamond" w:cs="Times New Roman"/>
        </w:rPr>
        <w:t xml:space="preserve">. </w:t>
      </w:r>
      <w:r w:rsidR="00B71830">
        <w:rPr>
          <w:rFonts w:ascii="Garamond" w:hAnsi="Garamond" w:cs="Times New Roman"/>
        </w:rPr>
        <w:t xml:space="preserve">When looking at the </w:t>
      </w:r>
      <w:r w:rsidR="00B31732">
        <w:rPr>
          <w:rFonts w:ascii="Garamond" w:hAnsi="Garamond" w:cs="Times New Roman"/>
        </w:rPr>
        <w:t xml:space="preserve">demographic boxplots, it can be observed that there are multiple outliers in some of the responses. </w:t>
      </w:r>
      <w:r w:rsidR="00D41DB5">
        <w:rPr>
          <w:rFonts w:ascii="Garamond" w:hAnsi="Garamond" w:cs="Times New Roman"/>
        </w:rPr>
        <w:t xml:space="preserve">It was decided to not manipulate </w:t>
      </w:r>
      <w:r w:rsidR="004F7B6B">
        <w:rPr>
          <w:rFonts w:ascii="Garamond" w:hAnsi="Garamond" w:cs="Times New Roman"/>
        </w:rPr>
        <w:t>or</w:t>
      </w:r>
      <w:r w:rsidR="00D41DB5">
        <w:rPr>
          <w:rFonts w:ascii="Garamond" w:hAnsi="Garamond" w:cs="Times New Roman"/>
        </w:rPr>
        <w:t xml:space="preserve"> address these values</w:t>
      </w:r>
      <w:r w:rsidR="004F7B6B">
        <w:rPr>
          <w:rFonts w:ascii="Garamond" w:hAnsi="Garamond" w:cs="Times New Roman"/>
        </w:rPr>
        <w:t xml:space="preserve"> </w:t>
      </w:r>
      <w:r w:rsidR="00D41DB5">
        <w:rPr>
          <w:rFonts w:ascii="Garamond" w:hAnsi="Garamond" w:cs="Times New Roman"/>
        </w:rPr>
        <w:t xml:space="preserve">considering there were only a handful of these points, and the dataset was large enough to not be influenced by these values. </w:t>
      </w:r>
      <w:r w:rsidR="002826DD" w:rsidRPr="002826DD">
        <w:rPr>
          <w:rFonts w:ascii="Garamond" w:hAnsi="Garamond" w:cs="Times New Roman"/>
        </w:rPr>
        <w:t>The final data manipulation involved recoding variables numerically to enhance readability in plots. In retrospect, more efficient approaches, like leveraging functions from '</w:t>
      </w:r>
      <w:proofErr w:type="spellStart"/>
      <w:r w:rsidR="002826DD" w:rsidRPr="002826DD">
        <w:rPr>
          <w:rFonts w:ascii="Garamond" w:hAnsi="Garamond" w:cs="Times New Roman"/>
        </w:rPr>
        <w:t>tidymodels</w:t>
      </w:r>
      <w:proofErr w:type="spellEnd"/>
      <w:r w:rsidR="002826DD" w:rsidRPr="002826DD">
        <w:rPr>
          <w:rFonts w:ascii="Garamond" w:hAnsi="Garamond" w:cs="Times New Roman"/>
        </w:rPr>
        <w:t>,' such as recipes, could have been employed.</w:t>
      </w:r>
    </w:p>
    <w:p w14:paraId="3367356B" w14:textId="77777777" w:rsidR="00EC4E7A" w:rsidRPr="00171F30" w:rsidRDefault="00EC4E7A" w:rsidP="0030210B">
      <w:pPr>
        <w:pStyle w:val="Header"/>
        <w:spacing w:line="276" w:lineRule="auto"/>
        <w:rPr>
          <w:rFonts w:ascii="Garamond" w:hAnsi="Garamond" w:cs="Times New Roman"/>
          <w:b/>
          <w:bCs/>
        </w:rPr>
      </w:pPr>
    </w:p>
    <w:p w14:paraId="79D90AF3" w14:textId="48748A74" w:rsidR="00495F76" w:rsidRPr="00171F30" w:rsidRDefault="00171F30" w:rsidP="0030210B">
      <w:pPr>
        <w:pStyle w:val="Header"/>
        <w:spacing w:line="276" w:lineRule="auto"/>
        <w:rPr>
          <w:rFonts w:ascii="Garamond" w:hAnsi="Garamond" w:cs="Times New Roman"/>
          <w:b/>
          <w:bCs/>
          <w:sz w:val="28"/>
          <w:szCs w:val="28"/>
        </w:rPr>
      </w:pPr>
      <w:r w:rsidRPr="00171F30">
        <w:rPr>
          <w:rFonts w:ascii="Garamond" w:hAnsi="Garamond" w:cs="Times New Roman"/>
          <w:b/>
          <w:bCs/>
          <w:sz w:val="28"/>
          <w:szCs w:val="28"/>
        </w:rPr>
        <w:t>COVID DATA</w:t>
      </w:r>
      <w:r w:rsidR="00DC2558">
        <w:rPr>
          <w:rFonts w:ascii="Garamond" w:hAnsi="Garamond" w:cs="Times New Roman"/>
          <w:b/>
          <w:bCs/>
          <w:sz w:val="28"/>
          <w:szCs w:val="28"/>
        </w:rPr>
        <w:t>:</w:t>
      </w:r>
    </w:p>
    <w:p w14:paraId="5DF70403" w14:textId="1488DA0E" w:rsidR="00F518FC" w:rsidRDefault="00BC2DE5" w:rsidP="0030210B">
      <w:pPr>
        <w:pStyle w:val="Header"/>
        <w:spacing w:line="276" w:lineRule="auto"/>
        <w:rPr>
          <w:rFonts w:ascii="Garamond" w:hAnsi="Garamond" w:cs="Times New Roman"/>
        </w:rPr>
      </w:pPr>
      <w:r w:rsidRPr="00BC2DE5">
        <w:rPr>
          <w:rFonts w:ascii="Garamond" w:hAnsi="Garamond" w:cs="Times New Roman"/>
        </w:rPr>
        <w:t>Cleaning</w:t>
      </w:r>
      <w:r w:rsidR="004A3927">
        <w:rPr>
          <w:rFonts w:ascii="Garamond" w:hAnsi="Garamond" w:cs="Times New Roman"/>
        </w:rPr>
        <w:t xml:space="preserve">, </w:t>
      </w:r>
      <w:r w:rsidR="00104A2B" w:rsidRPr="00BC2DE5">
        <w:rPr>
          <w:rFonts w:ascii="Garamond" w:hAnsi="Garamond" w:cs="Times New Roman"/>
        </w:rPr>
        <w:t>manipulating,</w:t>
      </w:r>
      <w:r w:rsidRPr="00BC2DE5">
        <w:rPr>
          <w:rFonts w:ascii="Garamond" w:hAnsi="Garamond" w:cs="Times New Roman"/>
        </w:rPr>
        <w:t xml:space="preserve"> </w:t>
      </w:r>
      <w:r w:rsidR="004A3927">
        <w:rPr>
          <w:rFonts w:ascii="Garamond" w:hAnsi="Garamond" w:cs="Times New Roman"/>
        </w:rPr>
        <w:t xml:space="preserve">and combining </w:t>
      </w:r>
      <w:r w:rsidRPr="00BC2DE5">
        <w:rPr>
          <w:rFonts w:ascii="Garamond" w:hAnsi="Garamond" w:cs="Times New Roman"/>
        </w:rPr>
        <w:t xml:space="preserve">COVID datasets posed significant challenges. The RANDS dataset lacked internet usage </w:t>
      </w:r>
      <w:proofErr w:type="spellStart"/>
      <w:r w:rsidRPr="00BC2DE5">
        <w:rPr>
          <w:rFonts w:ascii="Garamond" w:hAnsi="Garamond" w:cs="Times New Roman"/>
        </w:rPr>
        <w:t>reporting</w:t>
      </w:r>
      <w:r w:rsidR="009E052C">
        <w:rPr>
          <w:rFonts w:ascii="Garamond" w:hAnsi="Garamond" w:cs="Times New Roman"/>
        </w:rPr>
        <w:t>s</w:t>
      </w:r>
      <w:proofErr w:type="spellEnd"/>
      <w:r w:rsidRPr="00BC2DE5">
        <w:rPr>
          <w:rFonts w:ascii="Garamond" w:hAnsi="Garamond" w:cs="Times New Roman"/>
        </w:rPr>
        <w:t xml:space="preserve"> due to changes in funding, necessitating the exploration of alternative sources. The Pew Research Center's American Trends Panel </w:t>
      </w:r>
      <w:r w:rsidR="005D6687">
        <w:rPr>
          <w:rFonts w:ascii="Garamond" w:hAnsi="Garamond" w:cs="Times New Roman"/>
        </w:rPr>
        <w:t xml:space="preserve">(ATP) </w:t>
      </w:r>
      <w:r w:rsidRPr="00BC2DE5">
        <w:rPr>
          <w:rFonts w:ascii="Garamond" w:hAnsi="Garamond" w:cs="Times New Roman"/>
        </w:rPr>
        <w:t xml:space="preserve">offered valuable </w:t>
      </w:r>
      <w:r w:rsidRPr="00BC2DE5">
        <w:rPr>
          <w:rFonts w:ascii="Garamond" w:hAnsi="Garamond" w:cs="Times New Roman"/>
        </w:rPr>
        <w:t>data but</w:t>
      </w:r>
      <w:r w:rsidRPr="00BC2DE5">
        <w:rPr>
          <w:rFonts w:ascii="Garamond" w:hAnsi="Garamond" w:cs="Times New Roman"/>
        </w:rPr>
        <w:t xml:space="preserve"> sifting through its 102 waves for internet usage information </w:t>
      </w:r>
      <w:r w:rsidR="00104A2B">
        <w:rPr>
          <w:rFonts w:ascii="Garamond" w:hAnsi="Garamond" w:cs="Times New Roman"/>
        </w:rPr>
        <w:t xml:space="preserve">during COVID-19 </w:t>
      </w:r>
      <w:r w:rsidRPr="00BC2DE5">
        <w:rPr>
          <w:rFonts w:ascii="Garamond" w:hAnsi="Garamond" w:cs="Times New Roman"/>
        </w:rPr>
        <w:t xml:space="preserve">was a laborious task, ultimately utilizing only two waves (wave 72 and wave 93). </w:t>
      </w:r>
      <w:r w:rsidR="001A28DC">
        <w:rPr>
          <w:rFonts w:ascii="Garamond" w:hAnsi="Garamond" w:cs="Times New Roman"/>
        </w:rPr>
        <w:t xml:space="preserve">These were the only two waves that had pertinent information on internet usage. </w:t>
      </w:r>
      <w:r w:rsidRPr="00BC2DE5">
        <w:rPr>
          <w:rFonts w:ascii="Garamond" w:hAnsi="Garamond" w:cs="Times New Roman"/>
        </w:rPr>
        <w:t xml:space="preserve">Unlike pre-COVID data, the </w:t>
      </w:r>
      <w:r w:rsidR="002F4678">
        <w:rPr>
          <w:rFonts w:ascii="Garamond" w:hAnsi="Garamond" w:cs="Times New Roman"/>
        </w:rPr>
        <w:t>ATP</w:t>
      </w:r>
      <w:r w:rsidRPr="00BC2DE5">
        <w:rPr>
          <w:rFonts w:ascii="Garamond" w:hAnsi="Garamond" w:cs="Times New Roman"/>
        </w:rPr>
        <w:t xml:space="preserve"> datasets recorded internet usage categorically rather than numerically, complicating the comparison between pre-COVID and COVID internet use, a topic I will address later.</w:t>
      </w:r>
    </w:p>
    <w:p w14:paraId="3A9B513C" w14:textId="77777777" w:rsidR="00BC2DE5" w:rsidRDefault="00BC2DE5" w:rsidP="0030210B">
      <w:pPr>
        <w:pStyle w:val="Header"/>
        <w:spacing w:line="276" w:lineRule="auto"/>
        <w:rPr>
          <w:rFonts w:ascii="Garamond" w:hAnsi="Garamond" w:cs="Times New Roman"/>
        </w:rPr>
      </w:pPr>
    </w:p>
    <w:p w14:paraId="0AAEAB11" w14:textId="776400EA" w:rsidR="00F518FC" w:rsidRDefault="00F518FC" w:rsidP="0030210B">
      <w:pPr>
        <w:pStyle w:val="Header"/>
        <w:spacing w:line="276" w:lineRule="auto"/>
        <w:rPr>
          <w:rFonts w:ascii="Garamond" w:hAnsi="Garamond" w:cs="Times New Roman"/>
        </w:rPr>
      </w:pPr>
      <w:r>
        <w:rPr>
          <w:rFonts w:ascii="Garamond" w:hAnsi="Garamond" w:cs="Times New Roman"/>
        </w:rPr>
        <w:t xml:space="preserve">Cleaning and manipulating the </w:t>
      </w:r>
      <w:r w:rsidR="00E17E54">
        <w:rPr>
          <w:rFonts w:ascii="Garamond" w:hAnsi="Garamond" w:cs="Times New Roman"/>
        </w:rPr>
        <w:t>two</w:t>
      </w:r>
      <w:r w:rsidR="008362BF">
        <w:rPr>
          <w:rFonts w:ascii="Garamond" w:hAnsi="Garamond" w:cs="Times New Roman"/>
        </w:rPr>
        <w:t xml:space="preserve"> </w:t>
      </w:r>
      <w:r>
        <w:rPr>
          <w:rFonts w:ascii="Garamond" w:hAnsi="Garamond" w:cs="Times New Roman"/>
        </w:rPr>
        <w:t>RANDS</w:t>
      </w:r>
      <w:r w:rsidR="005D6687">
        <w:rPr>
          <w:rFonts w:ascii="Garamond" w:hAnsi="Garamond" w:cs="Times New Roman"/>
        </w:rPr>
        <w:t xml:space="preserve"> COVID</w:t>
      </w:r>
      <w:r w:rsidR="008362BF">
        <w:rPr>
          <w:rFonts w:ascii="Garamond" w:hAnsi="Garamond" w:cs="Times New Roman"/>
        </w:rPr>
        <w:t xml:space="preserve"> </w:t>
      </w:r>
      <w:r>
        <w:rPr>
          <w:rFonts w:ascii="Garamond" w:hAnsi="Garamond" w:cs="Times New Roman"/>
        </w:rPr>
        <w:t xml:space="preserve">datasets </w:t>
      </w:r>
      <w:r w:rsidR="00A51104">
        <w:rPr>
          <w:rFonts w:ascii="Garamond" w:hAnsi="Garamond" w:cs="Times New Roman"/>
        </w:rPr>
        <w:t>were</w:t>
      </w:r>
      <w:r>
        <w:rPr>
          <w:rFonts w:ascii="Garamond" w:hAnsi="Garamond" w:cs="Times New Roman"/>
        </w:rPr>
        <w:t xml:space="preserve"> very similar to how things were conduct</w:t>
      </w:r>
      <w:r w:rsidR="00A51104">
        <w:rPr>
          <w:rFonts w:ascii="Garamond" w:hAnsi="Garamond" w:cs="Times New Roman"/>
        </w:rPr>
        <w:t>ed with the pre-COVID RANDS datasets.</w:t>
      </w:r>
      <w:r w:rsidR="009751E3">
        <w:rPr>
          <w:rFonts w:ascii="Garamond" w:hAnsi="Garamond" w:cs="Times New Roman"/>
        </w:rPr>
        <w:t xml:space="preserve"> </w:t>
      </w:r>
      <w:r w:rsidR="005D6687">
        <w:rPr>
          <w:rFonts w:ascii="Garamond" w:hAnsi="Garamond" w:cs="Times New Roman"/>
        </w:rPr>
        <w:t xml:space="preserve">Data was subset only </w:t>
      </w:r>
      <w:r w:rsidR="003B3F65">
        <w:rPr>
          <w:rFonts w:ascii="Garamond" w:hAnsi="Garamond" w:cs="Times New Roman"/>
        </w:rPr>
        <w:t xml:space="preserve">pulling </w:t>
      </w:r>
      <w:r w:rsidR="005D6687">
        <w:rPr>
          <w:rFonts w:ascii="Garamond" w:hAnsi="Garamond" w:cs="Times New Roman"/>
        </w:rPr>
        <w:t>the necessary variables.</w:t>
      </w:r>
      <w:r w:rsidR="00E87625">
        <w:rPr>
          <w:rFonts w:ascii="Garamond" w:hAnsi="Garamond" w:cs="Times New Roman"/>
        </w:rPr>
        <w:t xml:space="preserve"> </w:t>
      </w:r>
      <w:r w:rsidR="00E87625">
        <w:rPr>
          <w:rFonts w:ascii="Garamond" w:hAnsi="Garamond" w:cs="Times New Roman"/>
        </w:rPr>
        <w:t xml:space="preserve">The addition of the ‘YEAR’ column was added to ensure that </w:t>
      </w:r>
      <w:r w:rsidR="00CC47F9">
        <w:rPr>
          <w:rFonts w:ascii="Garamond" w:hAnsi="Garamond" w:cs="Times New Roman"/>
        </w:rPr>
        <w:t xml:space="preserve">when comparing </w:t>
      </w:r>
      <w:r w:rsidR="00E87625">
        <w:rPr>
          <w:rFonts w:ascii="Garamond" w:hAnsi="Garamond" w:cs="Times New Roman"/>
        </w:rPr>
        <w:t xml:space="preserve">the two datasets </w:t>
      </w:r>
      <w:r w:rsidR="00CC47F9">
        <w:rPr>
          <w:rFonts w:ascii="Garamond" w:hAnsi="Garamond" w:cs="Times New Roman"/>
        </w:rPr>
        <w:t xml:space="preserve">that they have </w:t>
      </w:r>
      <w:r w:rsidR="00E87625">
        <w:rPr>
          <w:rFonts w:ascii="Garamond" w:hAnsi="Garamond" w:cs="Times New Roman"/>
        </w:rPr>
        <w:t>similar demographics</w:t>
      </w:r>
      <w:r w:rsidR="00B43977">
        <w:rPr>
          <w:rFonts w:ascii="Garamond" w:hAnsi="Garamond" w:cs="Times New Roman"/>
        </w:rPr>
        <w:t xml:space="preserve">, </w:t>
      </w:r>
      <w:r w:rsidR="00510099" w:rsidRPr="00510099">
        <w:rPr>
          <w:rFonts w:ascii="Garamond" w:hAnsi="Garamond" w:cs="Times New Roman"/>
        </w:rPr>
        <w:t xml:space="preserve">ensuring the validity and reliability of </w:t>
      </w:r>
      <w:r w:rsidR="007B3AAD">
        <w:rPr>
          <w:rFonts w:ascii="Garamond" w:hAnsi="Garamond" w:cs="Times New Roman"/>
        </w:rPr>
        <w:t>my later</w:t>
      </w:r>
      <w:r w:rsidR="00510099" w:rsidRPr="00510099">
        <w:rPr>
          <w:rFonts w:ascii="Garamond" w:hAnsi="Garamond" w:cs="Times New Roman"/>
        </w:rPr>
        <w:t xml:space="preserve"> analyses</w:t>
      </w:r>
      <w:r w:rsidR="007B3AAD">
        <w:rPr>
          <w:rFonts w:ascii="Garamond" w:hAnsi="Garamond" w:cs="Times New Roman"/>
        </w:rPr>
        <w:t>.</w:t>
      </w:r>
      <w:r w:rsidR="005D6687">
        <w:rPr>
          <w:rFonts w:ascii="Garamond" w:hAnsi="Garamond" w:cs="Times New Roman"/>
        </w:rPr>
        <w:t xml:space="preserve"> </w:t>
      </w:r>
      <w:r w:rsidR="00956576">
        <w:rPr>
          <w:rFonts w:ascii="Garamond" w:hAnsi="Garamond" w:cs="Times New Roman"/>
        </w:rPr>
        <w:t xml:space="preserve">Data was also recoded for ease of </w:t>
      </w:r>
      <w:r w:rsidR="00841D0F">
        <w:rPr>
          <w:rFonts w:ascii="Garamond" w:hAnsi="Garamond" w:cs="Times New Roman"/>
        </w:rPr>
        <w:t>readability to the reader. Again, more efficient methods could have been used</w:t>
      </w:r>
      <w:r w:rsidR="008362BF">
        <w:rPr>
          <w:rFonts w:ascii="Garamond" w:hAnsi="Garamond" w:cs="Times New Roman"/>
        </w:rPr>
        <w:t xml:space="preserve">. </w:t>
      </w:r>
      <w:r w:rsidR="00ED22E8">
        <w:rPr>
          <w:rFonts w:ascii="Garamond" w:hAnsi="Garamond" w:cs="Times New Roman"/>
        </w:rPr>
        <w:t>T</w:t>
      </w:r>
      <w:r w:rsidR="008362BF">
        <w:rPr>
          <w:rFonts w:ascii="Garamond" w:hAnsi="Garamond" w:cs="Times New Roman"/>
        </w:rPr>
        <w:t xml:space="preserve">he function </w:t>
      </w:r>
      <w:proofErr w:type="spellStart"/>
      <w:r w:rsidR="008362BF">
        <w:rPr>
          <w:rFonts w:ascii="Garamond" w:hAnsi="Garamond" w:cs="Times New Roman"/>
          <w:i/>
          <w:iCs/>
        </w:rPr>
        <w:t>rbind</w:t>
      </w:r>
      <w:proofErr w:type="spellEnd"/>
      <w:r w:rsidR="008362BF">
        <w:rPr>
          <w:rFonts w:ascii="Garamond" w:hAnsi="Garamond" w:cs="Times New Roman"/>
          <w:i/>
          <w:iCs/>
        </w:rPr>
        <w:t>()</w:t>
      </w:r>
      <w:r w:rsidR="008362BF">
        <w:rPr>
          <w:rFonts w:ascii="Garamond" w:hAnsi="Garamond" w:cs="Times New Roman"/>
        </w:rPr>
        <w:t xml:space="preserve"> was used to </w:t>
      </w:r>
      <w:r w:rsidR="007B3AAD">
        <w:rPr>
          <w:rFonts w:ascii="Garamond" w:hAnsi="Garamond" w:cs="Times New Roman"/>
        </w:rPr>
        <w:t>merge</w:t>
      </w:r>
      <w:r w:rsidR="008362BF">
        <w:rPr>
          <w:rFonts w:ascii="Garamond" w:hAnsi="Garamond" w:cs="Times New Roman"/>
        </w:rPr>
        <w:t xml:space="preserve"> the two datasets together</w:t>
      </w:r>
      <w:r w:rsidR="003A3DE0">
        <w:rPr>
          <w:rFonts w:ascii="Garamond" w:hAnsi="Garamond" w:cs="Times New Roman"/>
        </w:rPr>
        <w:t xml:space="preserve">, as well as the function </w:t>
      </w:r>
      <w:r w:rsidR="003A3DE0">
        <w:rPr>
          <w:rFonts w:ascii="Garamond" w:hAnsi="Garamond" w:cs="Times New Roman"/>
          <w:i/>
          <w:iCs/>
        </w:rPr>
        <w:t>cut()</w:t>
      </w:r>
      <w:r w:rsidR="003A3DE0">
        <w:rPr>
          <w:rFonts w:ascii="Garamond" w:hAnsi="Garamond" w:cs="Times New Roman"/>
        </w:rPr>
        <w:t xml:space="preserve"> to create age ranges. </w:t>
      </w:r>
    </w:p>
    <w:p w14:paraId="570A4273" w14:textId="77777777" w:rsidR="00866B8B" w:rsidRDefault="00866B8B" w:rsidP="0030210B">
      <w:pPr>
        <w:pStyle w:val="Header"/>
        <w:spacing w:line="276" w:lineRule="auto"/>
        <w:rPr>
          <w:rFonts w:ascii="Garamond" w:hAnsi="Garamond" w:cs="Times New Roman"/>
        </w:rPr>
      </w:pPr>
    </w:p>
    <w:p w14:paraId="07435161" w14:textId="50178E2A" w:rsidR="00F77E64" w:rsidRDefault="004966D5" w:rsidP="0030210B">
      <w:pPr>
        <w:pStyle w:val="Header"/>
        <w:spacing w:line="276" w:lineRule="auto"/>
        <w:rPr>
          <w:rFonts w:ascii="Garamond" w:hAnsi="Garamond" w:cs="Times New Roman"/>
        </w:rPr>
      </w:pPr>
      <w:r>
        <w:rPr>
          <w:rFonts w:ascii="Garamond" w:hAnsi="Garamond" w:cs="Times New Roman"/>
        </w:rPr>
        <w:t xml:space="preserve">Cleaning and manipulating the two ATP datasets was also straightforward. </w:t>
      </w:r>
      <w:r w:rsidR="00B302EF">
        <w:rPr>
          <w:rFonts w:ascii="Garamond" w:hAnsi="Garamond" w:cs="Times New Roman"/>
        </w:rPr>
        <w:t>Only the necessary columns were subset into a new table.</w:t>
      </w:r>
      <w:r w:rsidR="0088577D">
        <w:rPr>
          <w:rFonts w:ascii="Garamond" w:hAnsi="Garamond" w:cs="Times New Roman"/>
        </w:rPr>
        <w:t xml:space="preserve"> The ‘YEAR’ column was added to both tables to </w:t>
      </w:r>
      <w:r w:rsidR="00A2179B">
        <w:rPr>
          <w:rFonts w:ascii="Garamond" w:hAnsi="Garamond" w:cs="Times New Roman"/>
        </w:rPr>
        <w:t xml:space="preserve">again </w:t>
      </w:r>
      <w:r w:rsidR="0088577D">
        <w:rPr>
          <w:rFonts w:ascii="Garamond" w:hAnsi="Garamond" w:cs="Times New Roman"/>
        </w:rPr>
        <w:t xml:space="preserve">ensure similar demographics. </w:t>
      </w:r>
      <w:proofErr w:type="spellStart"/>
      <w:r w:rsidR="0075211A">
        <w:rPr>
          <w:rFonts w:ascii="Garamond" w:hAnsi="Garamond" w:cs="Times New Roman"/>
          <w:i/>
          <w:iCs/>
        </w:rPr>
        <w:t>Rbind</w:t>
      </w:r>
      <w:proofErr w:type="spellEnd"/>
      <w:r w:rsidR="0075211A">
        <w:rPr>
          <w:rFonts w:ascii="Garamond" w:hAnsi="Garamond" w:cs="Times New Roman"/>
          <w:i/>
          <w:iCs/>
        </w:rPr>
        <w:t xml:space="preserve">() </w:t>
      </w:r>
      <w:r w:rsidR="0075211A">
        <w:rPr>
          <w:rFonts w:ascii="Garamond" w:hAnsi="Garamond" w:cs="Times New Roman"/>
        </w:rPr>
        <w:t xml:space="preserve">was used to merge the two datasets. The columns </w:t>
      </w:r>
      <w:r w:rsidR="00554FE2">
        <w:rPr>
          <w:rFonts w:ascii="Garamond" w:hAnsi="Garamond" w:cs="Times New Roman"/>
        </w:rPr>
        <w:t xml:space="preserve">‘F_AGECAT’, ‘F_GENDER’, and ‘F_EDUCCAT’ </w:t>
      </w:r>
      <w:r w:rsidR="00263BEA">
        <w:rPr>
          <w:rFonts w:ascii="Garamond" w:hAnsi="Garamond" w:cs="Times New Roman"/>
        </w:rPr>
        <w:t xml:space="preserve">were renamed to match the columns in the merged </w:t>
      </w:r>
      <w:r w:rsidR="00A434E6">
        <w:rPr>
          <w:rFonts w:ascii="Garamond" w:hAnsi="Garamond" w:cs="Times New Roman"/>
        </w:rPr>
        <w:t xml:space="preserve">RANDS </w:t>
      </w:r>
      <w:r w:rsidR="00263BEA">
        <w:rPr>
          <w:rFonts w:ascii="Garamond" w:hAnsi="Garamond" w:cs="Times New Roman"/>
        </w:rPr>
        <w:t>COVID dataset</w:t>
      </w:r>
      <w:r w:rsidR="00BD33EE">
        <w:rPr>
          <w:rFonts w:ascii="Garamond" w:hAnsi="Garamond" w:cs="Times New Roman"/>
        </w:rPr>
        <w:t xml:space="preserve">. The columns for education level and gender were recoded to match the responses in the </w:t>
      </w:r>
      <w:r w:rsidR="00A434E6">
        <w:rPr>
          <w:rFonts w:ascii="Garamond" w:hAnsi="Garamond" w:cs="Times New Roman"/>
        </w:rPr>
        <w:t>RANDS</w:t>
      </w:r>
      <w:r w:rsidR="00BD33EE">
        <w:rPr>
          <w:rFonts w:ascii="Garamond" w:hAnsi="Garamond" w:cs="Times New Roman"/>
        </w:rPr>
        <w:t xml:space="preserve"> dataset</w:t>
      </w:r>
      <w:r w:rsidR="007676B3">
        <w:rPr>
          <w:rFonts w:ascii="Garamond" w:hAnsi="Garamond" w:cs="Times New Roman"/>
        </w:rPr>
        <w:t xml:space="preserve"> (</w:t>
      </w:r>
      <w:r w:rsidR="00954187">
        <w:rPr>
          <w:rFonts w:ascii="Garamond" w:hAnsi="Garamond" w:cs="Times New Roman"/>
        </w:rPr>
        <w:t>i.e.,</w:t>
      </w:r>
      <w:r w:rsidR="007676B3">
        <w:rPr>
          <w:rFonts w:ascii="Garamond" w:hAnsi="Garamond" w:cs="Times New Roman"/>
        </w:rPr>
        <w:t xml:space="preserve"> “A man” was recoded to “Male”). </w:t>
      </w:r>
    </w:p>
    <w:p w14:paraId="558298CE" w14:textId="77777777" w:rsidR="00F77E64" w:rsidRDefault="00F77E64" w:rsidP="0030210B">
      <w:pPr>
        <w:pStyle w:val="Header"/>
        <w:spacing w:line="276" w:lineRule="auto"/>
        <w:rPr>
          <w:rFonts w:ascii="Garamond" w:hAnsi="Garamond" w:cs="Times New Roman"/>
        </w:rPr>
      </w:pPr>
    </w:p>
    <w:p w14:paraId="5B37A213" w14:textId="41DE3A65" w:rsidR="00182DE4" w:rsidRPr="002D5C3F" w:rsidRDefault="003B761D" w:rsidP="003B761D">
      <w:pPr>
        <w:pStyle w:val="Header"/>
        <w:spacing w:line="276" w:lineRule="auto"/>
        <w:rPr>
          <w:rFonts w:ascii="Garamond" w:hAnsi="Garamond" w:cs="Times New Roman"/>
        </w:rPr>
      </w:pPr>
      <w:r w:rsidRPr="003B761D">
        <w:rPr>
          <w:rFonts w:ascii="Garamond" w:hAnsi="Garamond" w:cs="Times New Roman"/>
        </w:rPr>
        <w:t xml:space="preserve">To amalgamate the ATP merged dataset with the merged RANDS dataset, the </w:t>
      </w:r>
      <w:proofErr w:type="spellStart"/>
      <w:r w:rsidRPr="00BC47F3">
        <w:rPr>
          <w:rFonts w:ascii="Garamond" w:hAnsi="Garamond" w:cs="Times New Roman"/>
          <w:i/>
          <w:iCs/>
        </w:rPr>
        <w:t>left_join</w:t>
      </w:r>
      <w:proofErr w:type="spellEnd"/>
      <w:r w:rsidRPr="00BC47F3">
        <w:rPr>
          <w:rFonts w:ascii="Garamond" w:hAnsi="Garamond" w:cs="Times New Roman"/>
          <w:i/>
          <w:iCs/>
        </w:rPr>
        <w:t>()</w:t>
      </w:r>
      <w:r w:rsidRPr="003B761D">
        <w:rPr>
          <w:rFonts w:ascii="Garamond" w:hAnsi="Garamond" w:cs="Times New Roman"/>
        </w:rPr>
        <w:t xml:space="preserve"> function</w:t>
      </w:r>
      <w:r w:rsidR="00476924">
        <w:rPr>
          <w:rFonts w:ascii="Garamond" w:hAnsi="Garamond" w:cs="Times New Roman"/>
        </w:rPr>
        <w:t xml:space="preserve"> was utilized</w:t>
      </w:r>
      <w:r w:rsidRPr="003B761D">
        <w:rPr>
          <w:rFonts w:ascii="Garamond" w:hAnsi="Garamond" w:cs="Times New Roman"/>
        </w:rPr>
        <w:t>, focusing on the columns 'AGE,' 'GENDER,' 'EDUC,' and 'YEAR.' These columns encapsulate crucial information about demographic characteristics and the temporal dimension of the data. The objective was to align records between the ATP and RANDS datasets based on matching demographic and temporal attribute</w:t>
      </w:r>
    </w:p>
    <w:p w14:paraId="56110C8B" w14:textId="77777777" w:rsidR="00340C18" w:rsidRDefault="00340C18" w:rsidP="003B761D">
      <w:pPr>
        <w:pStyle w:val="Header"/>
        <w:spacing w:line="276" w:lineRule="auto"/>
        <w:rPr>
          <w:rFonts w:ascii="Garamond" w:hAnsi="Garamond" w:cs="Times New Roman"/>
          <w:b/>
          <w:bCs/>
          <w:sz w:val="32"/>
          <w:szCs w:val="32"/>
        </w:rPr>
      </w:pPr>
    </w:p>
    <w:p w14:paraId="56A50BF3" w14:textId="77777777" w:rsidR="00A37158" w:rsidRDefault="00A37158" w:rsidP="003B761D">
      <w:pPr>
        <w:pStyle w:val="Header"/>
        <w:spacing w:line="276" w:lineRule="auto"/>
        <w:rPr>
          <w:rFonts w:ascii="Garamond" w:hAnsi="Garamond" w:cs="Times New Roman"/>
          <w:b/>
          <w:bCs/>
          <w:sz w:val="32"/>
          <w:szCs w:val="32"/>
        </w:rPr>
      </w:pPr>
    </w:p>
    <w:p w14:paraId="73C9A311" w14:textId="7C6C0266" w:rsidR="00D03D01" w:rsidRDefault="00D03D01" w:rsidP="003B761D">
      <w:pPr>
        <w:pStyle w:val="Header"/>
        <w:spacing w:line="276" w:lineRule="auto"/>
        <w:rPr>
          <w:rFonts w:ascii="Garamond" w:hAnsi="Garamond" w:cs="Times New Roman"/>
          <w:b/>
          <w:bCs/>
          <w:sz w:val="32"/>
          <w:szCs w:val="32"/>
        </w:rPr>
      </w:pPr>
      <w:r w:rsidRPr="00D03D01">
        <w:rPr>
          <w:rFonts w:ascii="Garamond" w:hAnsi="Garamond" w:cs="Times New Roman"/>
          <w:b/>
          <w:bCs/>
          <w:sz w:val="32"/>
          <w:szCs w:val="32"/>
        </w:rPr>
        <w:lastRenderedPageBreak/>
        <w:t>Findings</w:t>
      </w:r>
    </w:p>
    <w:p w14:paraId="3C9EE6CA" w14:textId="77777777" w:rsidR="00F25E5A" w:rsidRDefault="00F25E5A" w:rsidP="003B761D">
      <w:pPr>
        <w:pStyle w:val="Header"/>
        <w:spacing w:line="276" w:lineRule="auto"/>
        <w:rPr>
          <w:rFonts w:ascii="Garamond" w:hAnsi="Garamond" w:cs="Times New Roman"/>
          <w:b/>
          <w:bCs/>
          <w:sz w:val="32"/>
          <w:szCs w:val="32"/>
        </w:rPr>
      </w:pPr>
    </w:p>
    <w:p w14:paraId="0F21A3B4" w14:textId="07924A30" w:rsidR="00880E55" w:rsidRDefault="00BB6325" w:rsidP="003B761D">
      <w:pPr>
        <w:pStyle w:val="Header"/>
        <w:spacing w:line="276" w:lineRule="auto"/>
        <w:rPr>
          <w:rFonts w:ascii="Garamond" w:hAnsi="Garamond" w:cs="Times New Roman"/>
          <w:b/>
          <w:bCs/>
          <w:sz w:val="28"/>
          <w:szCs w:val="28"/>
        </w:rPr>
      </w:pPr>
      <w:r>
        <w:rPr>
          <w:rFonts w:ascii="Garamond" w:hAnsi="Garamond" w:cs="Times New Roman"/>
          <w:b/>
          <w:bCs/>
          <w:noProof/>
          <w:sz w:val="28"/>
          <w:szCs w:val="28"/>
        </w:rPr>
        <w:drawing>
          <wp:anchor distT="0" distB="0" distL="114300" distR="114300" simplePos="0" relativeHeight="251666432" behindDoc="0" locked="0" layoutInCell="1" allowOverlap="1" wp14:anchorId="7953B3D8" wp14:editId="0C1164E4">
            <wp:simplePos x="0" y="0"/>
            <wp:positionH relativeFrom="column">
              <wp:posOffset>-66675</wp:posOffset>
            </wp:positionH>
            <wp:positionV relativeFrom="paragraph">
              <wp:posOffset>331470</wp:posOffset>
            </wp:positionV>
            <wp:extent cx="4705350" cy="4081145"/>
            <wp:effectExtent l="12700" t="12700" r="19050" b="8255"/>
            <wp:wrapTopAndBottom/>
            <wp:docPr id="1291493302" name="Picture 14"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493302" name="Picture 14" descr="A graph of different colored ba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05350" cy="4081145"/>
                    </a:xfrm>
                    <a:prstGeom prst="rect">
                      <a:avLst/>
                    </a:prstGeom>
                    <a:ln>
                      <a:solidFill>
                        <a:schemeClr val="accent1">
                          <a:shade val="15000"/>
                        </a:schemeClr>
                      </a:solidFill>
                    </a:ln>
                  </pic:spPr>
                </pic:pic>
              </a:graphicData>
            </a:graphic>
            <wp14:sizeRelH relativeFrom="page">
              <wp14:pctWidth>0</wp14:pctWidth>
            </wp14:sizeRelH>
            <wp14:sizeRelV relativeFrom="page">
              <wp14:pctHeight>0</wp14:pctHeight>
            </wp14:sizeRelV>
          </wp:anchor>
        </w:drawing>
      </w:r>
      <w:r w:rsidR="00F25E5A" w:rsidRPr="00F25E5A">
        <w:rPr>
          <w:rFonts w:ascii="Garamond" w:hAnsi="Garamond" w:cs="Times New Roman"/>
          <w:b/>
          <w:bCs/>
          <w:sz w:val="28"/>
          <w:szCs w:val="28"/>
        </w:rPr>
        <w:t>Pre-COVID</w:t>
      </w:r>
      <w:r w:rsidR="005B6C5F">
        <w:rPr>
          <w:rFonts w:ascii="Garamond" w:hAnsi="Garamond" w:cs="Times New Roman"/>
          <w:b/>
          <w:bCs/>
          <w:sz w:val="28"/>
          <w:szCs w:val="28"/>
        </w:rPr>
        <w:t>:</w:t>
      </w:r>
    </w:p>
    <w:p w14:paraId="006865F1" w14:textId="1096E315" w:rsidR="00326B3B" w:rsidRDefault="00326B3B" w:rsidP="00F11F97">
      <w:pPr>
        <w:pStyle w:val="Header"/>
        <w:spacing w:line="276" w:lineRule="auto"/>
        <w:rPr>
          <w:rFonts w:ascii="Garamond" w:hAnsi="Garamond" w:cs="Times New Roman"/>
        </w:rPr>
      </w:pPr>
    </w:p>
    <w:p w14:paraId="3D35E000" w14:textId="061618F2" w:rsidR="00F25E5A" w:rsidRDefault="00F11F97" w:rsidP="00F11F97">
      <w:pPr>
        <w:pStyle w:val="Header"/>
        <w:spacing w:line="276" w:lineRule="auto"/>
        <w:rPr>
          <w:rFonts w:ascii="Garamond" w:hAnsi="Garamond" w:cs="Times New Roman"/>
        </w:rPr>
      </w:pPr>
      <w:r w:rsidRPr="00F11F97">
        <w:rPr>
          <w:rFonts w:ascii="Garamond" w:hAnsi="Garamond" w:cs="Times New Roman"/>
        </w:rPr>
        <w:t>This plot illustrates the parallels in internet usage patterns between male and female respondents. Notably, full-time female students exhibited the highest interquartile range (IQR) for internet usage, a trend mirrored by their male counterparts with a similar IQR spread. The most discernible difference arises in the median of internet usage between full-time working women and men, with the former displaying a slightly higher median. However, this discrepancy is not significant enough to compromise the validity of the results. Furthermore, the plot reveals consistent patterns between employment types and internet usage, reinforcing the credibility of the data due to the remarkable demographic similarities. It's worth noting the presence of outliers across each employment category. Despite attempting a log transformation, the resulting plot did not exhibit substantial improvements.</w:t>
      </w:r>
    </w:p>
    <w:p w14:paraId="14353D5B" w14:textId="77777777" w:rsidR="00D65654" w:rsidRDefault="00D65654" w:rsidP="00F11F97">
      <w:pPr>
        <w:pStyle w:val="Header"/>
        <w:spacing w:line="276" w:lineRule="auto"/>
        <w:rPr>
          <w:rFonts w:ascii="Garamond" w:hAnsi="Garamond" w:cs="Times New Roman"/>
        </w:rPr>
      </w:pPr>
    </w:p>
    <w:p w14:paraId="0C07540A" w14:textId="32929C0C" w:rsidR="00D65654" w:rsidRDefault="00D65654" w:rsidP="00F11F97">
      <w:pPr>
        <w:pStyle w:val="Header"/>
        <w:spacing w:line="276" w:lineRule="auto"/>
        <w:rPr>
          <w:rFonts w:ascii="Garamond" w:hAnsi="Garamond" w:cs="Times New Roman"/>
        </w:rPr>
      </w:pPr>
      <w:r>
        <w:rPr>
          <w:rFonts w:ascii="Garamond" w:hAnsi="Garamond" w:cs="Times New Roman"/>
          <w:noProof/>
        </w:rPr>
        <w:lastRenderedPageBreak/>
        <w:drawing>
          <wp:inline distT="0" distB="0" distL="0" distR="0" wp14:anchorId="3D7955F2" wp14:editId="5E29B983">
            <wp:extent cx="4826643" cy="3924226"/>
            <wp:effectExtent l="12700" t="12700" r="12065" b="13335"/>
            <wp:docPr id="29171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71136" name="Picture 29171136"/>
                    <pic:cNvPicPr/>
                  </pic:nvPicPr>
                  <pic:blipFill>
                    <a:blip r:embed="rId7">
                      <a:extLst>
                        <a:ext uri="{28A0092B-C50C-407E-A947-70E740481C1C}">
                          <a14:useLocalDpi xmlns:a14="http://schemas.microsoft.com/office/drawing/2010/main" val="0"/>
                        </a:ext>
                      </a:extLst>
                    </a:blip>
                    <a:stretch>
                      <a:fillRect/>
                    </a:stretch>
                  </pic:blipFill>
                  <pic:spPr>
                    <a:xfrm>
                      <a:off x="0" y="0"/>
                      <a:ext cx="4831017" cy="3927783"/>
                    </a:xfrm>
                    <a:prstGeom prst="rect">
                      <a:avLst/>
                    </a:prstGeom>
                    <a:solidFill>
                      <a:schemeClr val="bg1"/>
                    </a:solidFill>
                    <a:ln>
                      <a:solidFill>
                        <a:schemeClr val="accent1">
                          <a:shade val="15000"/>
                        </a:schemeClr>
                      </a:solidFill>
                    </a:ln>
                  </pic:spPr>
                </pic:pic>
              </a:graphicData>
            </a:graphic>
          </wp:inline>
        </w:drawing>
      </w:r>
    </w:p>
    <w:p w14:paraId="13AA0C64" w14:textId="77777777" w:rsidR="00326B3B" w:rsidRDefault="00326B3B" w:rsidP="007E7609">
      <w:pPr>
        <w:pStyle w:val="Header"/>
        <w:spacing w:line="276" w:lineRule="auto"/>
        <w:rPr>
          <w:rFonts w:ascii="Garamond" w:hAnsi="Garamond" w:cs="Times New Roman"/>
        </w:rPr>
      </w:pPr>
    </w:p>
    <w:p w14:paraId="1B13D3BF" w14:textId="171B76D2" w:rsidR="002A5173" w:rsidRDefault="007E7609" w:rsidP="007E7609">
      <w:pPr>
        <w:pStyle w:val="Header"/>
        <w:spacing w:line="276" w:lineRule="auto"/>
        <w:rPr>
          <w:rFonts w:ascii="Garamond" w:hAnsi="Garamond" w:cs="Times New Roman"/>
        </w:rPr>
      </w:pPr>
      <w:r w:rsidRPr="007E7609">
        <w:rPr>
          <w:rFonts w:ascii="Garamond" w:hAnsi="Garamond" w:cs="Times New Roman"/>
        </w:rPr>
        <w:t>This plot highlights the consistency in daily internet usage across age groups and education levels between 2015 and 2016. Notably, participants aged 18-29 exhibited the highest internet usage among all age groups, irrespective of their educational backgrounds. While this observation is noticeable, it is not as drastic as differences observed in other age groups. Overall, there is a uniformity in internet usage time across all education levels, with no single educational category standing out significantly from the others. This further reinforces the credibility of the data.</w:t>
      </w:r>
    </w:p>
    <w:p w14:paraId="6546D7DC" w14:textId="77777777" w:rsidR="00D63A83" w:rsidRDefault="00D63A83" w:rsidP="007E7609">
      <w:pPr>
        <w:pStyle w:val="Header"/>
        <w:spacing w:line="276" w:lineRule="auto"/>
        <w:rPr>
          <w:rFonts w:ascii="Garamond" w:hAnsi="Garamond" w:cs="Times New Roman"/>
        </w:rPr>
      </w:pPr>
    </w:p>
    <w:p w14:paraId="041D3046" w14:textId="34F5C9B4" w:rsidR="00D63A83" w:rsidRDefault="00871CAD" w:rsidP="007E7609">
      <w:pPr>
        <w:pStyle w:val="Header"/>
        <w:spacing w:line="276" w:lineRule="auto"/>
        <w:rPr>
          <w:rFonts w:ascii="Garamond" w:hAnsi="Garamond" w:cs="Times New Roman"/>
        </w:rPr>
      </w:pPr>
      <w:r>
        <w:rPr>
          <w:rFonts w:ascii="Garamond" w:hAnsi="Garamond" w:cs="Times New Roman"/>
          <w:noProof/>
        </w:rPr>
        <w:lastRenderedPageBreak/>
        <w:drawing>
          <wp:inline distT="0" distB="0" distL="0" distR="0" wp14:anchorId="5447BEC1" wp14:editId="0F1DF41F">
            <wp:extent cx="4757130" cy="4455622"/>
            <wp:effectExtent l="12700" t="12700" r="18415" b="15240"/>
            <wp:docPr id="90828154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281547" name="Picture 908281547"/>
                    <pic:cNvPicPr/>
                  </pic:nvPicPr>
                  <pic:blipFill>
                    <a:blip r:embed="rId8">
                      <a:extLst>
                        <a:ext uri="{28A0092B-C50C-407E-A947-70E740481C1C}">
                          <a14:useLocalDpi xmlns:a14="http://schemas.microsoft.com/office/drawing/2010/main" val="0"/>
                        </a:ext>
                      </a:extLst>
                    </a:blip>
                    <a:stretch>
                      <a:fillRect/>
                    </a:stretch>
                  </pic:blipFill>
                  <pic:spPr>
                    <a:xfrm>
                      <a:off x="0" y="0"/>
                      <a:ext cx="4795267" cy="4491342"/>
                    </a:xfrm>
                    <a:prstGeom prst="rect">
                      <a:avLst/>
                    </a:prstGeom>
                    <a:ln>
                      <a:solidFill>
                        <a:schemeClr val="accent1">
                          <a:shade val="15000"/>
                        </a:schemeClr>
                      </a:solidFill>
                    </a:ln>
                  </pic:spPr>
                </pic:pic>
              </a:graphicData>
            </a:graphic>
          </wp:inline>
        </w:drawing>
      </w:r>
    </w:p>
    <w:p w14:paraId="604994BE" w14:textId="1A0AB157" w:rsidR="00092BA9" w:rsidRDefault="00326B3B" w:rsidP="00326B3B">
      <w:pPr>
        <w:pStyle w:val="Header"/>
        <w:spacing w:line="276" w:lineRule="auto"/>
        <w:rPr>
          <w:rFonts w:ascii="Garamond" w:hAnsi="Garamond" w:cs="Times New Roman"/>
        </w:rPr>
      </w:pPr>
      <w:r w:rsidRPr="00326B3B">
        <w:rPr>
          <w:rFonts w:ascii="Garamond" w:hAnsi="Garamond" w:cs="Times New Roman"/>
        </w:rPr>
        <w:t xml:space="preserve">This plot provides an overview of the correlation between participants' reported emotions and their internet usage. Emotions were assessed on a scale of </w:t>
      </w:r>
      <w:r w:rsidR="00C03E72">
        <w:rPr>
          <w:rFonts w:ascii="Garamond" w:hAnsi="Garamond" w:cs="Times New Roman"/>
        </w:rPr>
        <w:t>six</w:t>
      </w:r>
      <w:r w:rsidRPr="00326B3B">
        <w:rPr>
          <w:rFonts w:ascii="Garamond" w:hAnsi="Garamond" w:cs="Times New Roman"/>
        </w:rPr>
        <w:t xml:space="preserve"> levels, with participants responding to questions like 'During the past 30 days, how often did you feel...'. The 'Don't know' response was omitted from the plot due to its insignificance. Notably, the emotions of sadness and exhaustion exhibit a moderate increase with higher levels of internet usage. Conversely, the emotions of hopelessness and nervousness follow a concave distribution, intensifying up to the 'Some of the time' category with increasing internet usage, and subsequently becoming less intense beyond this point.</w:t>
      </w:r>
    </w:p>
    <w:p w14:paraId="469C1FEB" w14:textId="77777777" w:rsidR="00803F82" w:rsidRDefault="00803F82" w:rsidP="00326B3B">
      <w:pPr>
        <w:pStyle w:val="Header"/>
        <w:spacing w:line="276" w:lineRule="auto"/>
        <w:rPr>
          <w:rFonts w:ascii="Garamond" w:hAnsi="Garamond" w:cs="Times New Roman"/>
        </w:rPr>
      </w:pPr>
    </w:p>
    <w:p w14:paraId="77978130" w14:textId="7C2EA410" w:rsidR="004A2CA2" w:rsidRPr="00027826" w:rsidRDefault="00803F82" w:rsidP="00326B3B">
      <w:pPr>
        <w:pStyle w:val="Header"/>
        <w:spacing w:line="276" w:lineRule="auto"/>
        <w:rPr>
          <w:rFonts w:ascii="Garamond" w:hAnsi="Garamond" w:cs="Times New Roman"/>
        </w:rPr>
      </w:pPr>
      <w:r w:rsidRPr="00803F82">
        <w:rPr>
          <w:rFonts w:ascii="Garamond" w:hAnsi="Garamond" w:cs="Times New Roman"/>
        </w:rPr>
        <w:t>In conclusion, these diverse plots shed light on various aspects of the relationship between internet usage and demographic factors, emotional experiences, and temporal dynamics. The exploration of internet usage patterns among male and female respondents, as well as across different employment types, not only identifies nuanced trends but also underscores the credibility of the data due to the consistent patterns observed. Likewise, the examination of daily internet usage across age groups and education levels reveals a notable uniformity, strengthening the reliability of the dataset. Finally, the correlation between reported emotions and internet usage provides valuable insights, uncovering intriguing patterns such as the concave distribution of hopelessness and nervousness. Together,</w:t>
      </w:r>
      <w:r w:rsidR="0012745A">
        <w:rPr>
          <w:rFonts w:ascii="Garamond" w:hAnsi="Garamond" w:cs="Times New Roman"/>
        </w:rPr>
        <w:t xml:space="preserve"> </w:t>
      </w:r>
      <w:r w:rsidRPr="00803F82">
        <w:rPr>
          <w:rFonts w:ascii="Garamond" w:hAnsi="Garamond" w:cs="Times New Roman"/>
        </w:rPr>
        <w:t>these analyses contribute to a comprehensive understanding of the multifaceted interplay between internet usage and various demographic and emotional factors.</w:t>
      </w:r>
    </w:p>
    <w:p w14:paraId="52341316" w14:textId="32848031" w:rsidR="00501AF8" w:rsidRPr="004A2CA2" w:rsidRDefault="00831DD9" w:rsidP="00326B3B">
      <w:pPr>
        <w:pStyle w:val="Header"/>
        <w:spacing w:line="276" w:lineRule="auto"/>
        <w:rPr>
          <w:rFonts w:ascii="Garamond" w:hAnsi="Garamond" w:cs="Times New Roman"/>
        </w:rPr>
      </w:pPr>
      <w:r>
        <w:rPr>
          <w:rFonts w:ascii="Garamond" w:hAnsi="Garamond" w:cs="Times New Roman"/>
          <w:b/>
          <w:bCs/>
          <w:noProof/>
          <w:sz w:val="28"/>
          <w:szCs w:val="28"/>
        </w:rPr>
        <w:lastRenderedPageBreak/>
        <w:drawing>
          <wp:anchor distT="0" distB="0" distL="114300" distR="114300" simplePos="0" relativeHeight="251664384" behindDoc="0" locked="0" layoutInCell="1" allowOverlap="1" wp14:anchorId="2F5C669D" wp14:editId="6B4CE923">
            <wp:simplePos x="0" y="0"/>
            <wp:positionH relativeFrom="column">
              <wp:posOffset>3054853</wp:posOffset>
            </wp:positionH>
            <wp:positionV relativeFrom="paragraph">
              <wp:posOffset>248569</wp:posOffset>
            </wp:positionV>
            <wp:extent cx="3606800" cy="3378200"/>
            <wp:effectExtent l="12700" t="12700" r="12700" b="12700"/>
            <wp:wrapSquare wrapText="bothSides"/>
            <wp:docPr id="1642040950" name="Picture 10" descr="A group of colorful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040950" name="Picture 10" descr="A group of colorful square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606800" cy="3378200"/>
                    </a:xfrm>
                    <a:prstGeom prst="rect">
                      <a:avLst/>
                    </a:prstGeom>
                    <a:ln>
                      <a:solidFill>
                        <a:schemeClr val="accent1">
                          <a:shade val="15000"/>
                        </a:schemeClr>
                      </a:solidFill>
                    </a:ln>
                  </pic:spPr>
                </pic:pic>
              </a:graphicData>
            </a:graphic>
            <wp14:sizeRelH relativeFrom="page">
              <wp14:pctWidth>0</wp14:pctWidth>
            </wp14:sizeRelH>
            <wp14:sizeRelV relativeFrom="page">
              <wp14:pctHeight>0</wp14:pctHeight>
            </wp14:sizeRelV>
          </wp:anchor>
        </w:drawing>
      </w:r>
      <w:r w:rsidR="004A2CA2">
        <w:rPr>
          <w:rFonts w:ascii="Garamond" w:hAnsi="Garamond" w:cs="Times New Roman"/>
          <w:b/>
          <w:bCs/>
          <w:noProof/>
          <w:sz w:val="28"/>
          <w:szCs w:val="28"/>
        </w:rPr>
        <w:drawing>
          <wp:anchor distT="0" distB="0" distL="114300" distR="114300" simplePos="0" relativeHeight="251663360" behindDoc="0" locked="0" layoutInCell="1" allowOverlap="1" wp14:anchorId="340F8038" wp14:editId="5D260111">
            <wp:simplePos x="0" y="0"/>
            <wp:positionH relativeFrom="column">
              <wp:posOffset>-660513</wp:posOffset>
            </wp:positionH>
            <wp:positionV relativeFrom="paragraph">
              <wp:posOffset>250190</wp:posOffset>
            </wp:positionV>
            <wp:extent cx="3606800" cy="3377565"/>
            <wp:effectExtent l="12700" t="12700" r="12700" b="13335"/>
            <wp:wrapSquare wrapText="bothSides"/>
            <wp:docPr id="12458685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68577" name="Picture 1245868577"/>
                    <pic:cNvPicPr/>
                  </pic:nvPicPr>
                  <pic:blipFill>
                    <a:blip r:embed="rId10">
                      <a:extLst>
                        <a:ext uri="{28A0092B-C50C-407E-A947-70E740481C1C}">
                          <a14:useLocalDpi xmlns:a14="http://schemas.microsoft.com/office/drawing/2010/main" val="0"/>
                        </a:ext>
                      </a:extLst>
                    </a:blip>
                    <a:stretch>
                      <a:fillRect/>
                    </a:stretch>
                  </pic:blipFill>
                  <pic:spPr>
                    <a:xfrm>
                      <a:off x="0" y="0"/>
                      <a:ext cx="3606800" cy="3377565"/>
                    </a:xfrm>
                    <a:prstGeom prst="rect">
                      <a:avLst/>
                    </a:prstGeom>
                    <a:ln>
                      <a:solidFill>
                        <a:schemeClr val="accent1">
                          <a:shade val="15000"/>
                        </a:schemeClr>
                      </a:solidFill>
                    </a:ln>
                  </pic:spPr>
                </pic:pic>
              </a:graphicData>
            </a:graphic>
            <wp14:sizeRelH relativeFrom="page">
              <wp14:pctWidth>0</wp14:pctWidth>
            </wp14:sizeRelH>
            <wp14:sizeRelV relativeFrom="page">
              <wp14:pctHeight>0</wp14:pctHeight>
            </wp14:sizeRelV>
          </wp:anchor>
        </w:drawing>
      </w:r>
      <w:r w:rsidR="00803F82" w:rsidRPr="00B6513D">
        <w:rPr>
          <w:rFonts w:ascii="Garamond" w:hAnsi="Garamond" w:cs="Times New Roman"/>
          <w:b/>
          <w:bCs/>
          <w:sz w:val="28"/>
          <w:szCs w:val="28"/>
        </w:rPr>
        <w:t xml:space="preserve">COVID: </w:t>
      </w:r>
    </w:p>
    <w:p w14:paraId="6E67B2E2" w14:textId="5510AF2C" w:rsidR="00027826" w:rsidRDefault="00027826" w:rsidP="00326B3B">
      <w:pPr>
        <w:pStyle w:val="Header"/>
        <w:spacing w:line="276" w:lineRule="auto"/>
        <w:rPr>
          <w:rFonts w:ascii="Garamond" w:hAnsi="Garamond" w:cs="Times New Roman"/>
          <w:b/>
          <w:bCs/>
          <w:sz w:val="28"/>
          <w:szCs w:val="28"/>
        </w:rPr>
      </w:pPr>
    </w:p>
    <w:p w14:paraId="63E59E97" w14:textId="4936681A" w:rsidR="0040405E" w:rsidRDefault="00FA1CAC" w:rsidP="00326B3B">
      <w:pPr>
        <w:pStyle w:val="Header"/>
        <w:spacing w:line="276" w:lineRule="auto"/>
        <w:rPr>
          <w:rFonts w:ascii="Garamond" w:hAnsi="Garamond" w:cs="Times New Roman"/>
          <w:b/>
          <w:bCs/>
        </w:rPr>
      </w:pPr>
      <w:r w:rsidRPr="00FA1CAC">
        <w:rPr>
          <w:rFonts w:ascii="Garamond" w:hAnsi="Garamond" w:cs="Times New Roman"/>
        </w:rPr>
        <w:t>The demographic profiles of the two datasets closely align, demonstrating remarkable similarities. Gender distribution is nearly identical in both datasets, boasting an equitable representation of male and female participants. While the RANDS dataset skews towards a higher count of individuals aged 18-29, the ATP data exhibits a greater presence in the 50-64 age range. Nevertheless, these variations are relatively minor, reinforcing the overall congruence in age distribution. Furthermore, both datasets share comparable educational backgrounds among participants. Given these consistent demographic parallels, the decision to merge the two datasets appears well-founded and substantiated.</w:t>
      </w:r>
    </w:p>
    <w:p w14:paraId="11F91FA2" w14:textId="42A6D9AC" w:rsidR="0040405E" w:rsidRDefault="0040405E" w:rsidP="00326B3B">
      <w:pPr>
        <w:pStyle w:val="Header"/>
        <w:spacing w:line="276" w:lineRule="auto"/>
        <w:rPr>
          <w:rFonts w:ascii="Garamond" w:hAnsi="Garamond" w:cs="Times New Roman"/>
          <w:b/>
          <w:bCs/>
        </w:rPr>
      </w:pPr>
    </w:p>
    <w:p w14:paraId="1E7C8D0D" w14:textId="77777777" w:rsidR="0040405E" w:rsidRDefault="0040405E" w:rsidP="00326B3B">
      <w:pPr>
        <w:pStyle w:val="Header"/>
        <w:spacing w:line="276" w:lineRule="auto"/>
        <w:rPr>
          <w:rFonts w:ascii="Garamond" w:hAnsi="Garamond" w:cs="Times New Roman"/>
          <w:b/>
          <w:bCs/>
        </w:rPr>
      </w:pPr>
    </w:p>
    <w:p w14:paraId="361914BB" w14:textId="77777777" w:rsidR="0040405E" w:rsidRDefault="0040405E" w:rsidP="00326B3B">
      <w:pPr>
        <w:pStyle w:val="Header"/>
        <w:spacing w:line="276" w:lineRule="auto"/>
        <w:rPr>
          <w:rFonts w:ascii="Garamond" w:hAnsi="Garamond" w:cs="Times New Roman"/>
          <w:b/>
          <w:bCs/>
        </w:rPr>
      </w:pPr>
    </w:p>
    <w:p w14:paraId="05B14BD7" w14:textId="77777777" w:rsidR="00A71672" w:rsidRDefault="00A71672" w:rsidP="00326B3B">
      <w:pPr>
        <w:pStyle w:val="Header"/>
        <w:spacing w:line="276" w:lineRule="auto"/>
        <w:rPr>
          <w:rFonts w:ascii="Garamond" w:hAnsi="Garamond" w:cs="Times New Roman"/>
        </w:rPr>
      </w:pPr>
    </w:p>
    <w:p w14:paraId="783C988A" w14:textId="77777777" w:rsidR="00A71672" w:rsidRDefault="00A71672" w:rsidP="00326B3B">
      <w:pPr>
        <w:pStyle w:val="Header"/>
        <w:spacing w:line="276" w:lineRule="auto"/>
        <w:rPr>
          <w:rFonts w:ascii="Garamond" w:hAnsi="Garamond" w:cs="Times New Roman"/>
        </w:rPr>
      </w:pPr>
    </w:p>
    <w:p w14:paraId="7E017082" w14:textId="77777777" w:rsidR="00A71672" w:rsidRDefault="00A71672" w:rsidP="00326B3B">
      <w:pPr>
        <w:pStyle w:val="Header"/>
        <w:spacing w:line="276" w:lineRule="auto"/>
        <w:rPr>
          <w:rFonts w:ascii="Garamond" w:hAnsi="Garamond" w:cs="Times New Roman"/>
        </w:rPr>
      </w:pPr>
    </w:p>
    <w:p w14:paraId="56E30DF2" w14:textId="77777777" w:rsidR="00A71672" w:rsidRDefault="00A71672" w:rsidP="00326B3B">
      <w:pPr>
        <w:pStyle w:val="Header"/>
        <w:spacing w:line="276" w:lineRule="auto"/>
        <w:rPr>
          <w:rFonts w:ascii="Garamond" w:hAnsi="Garamond" w:cs="Times New Roman"/>
        </w:rPr>
      </w:pPr>
    </w:p>
    <w:p w14:paraId="540206B4" w14:textId="77777777" w:rsidR="00A71672" w:rsidRDefault="00A71672" w:rsidP="00326B3B">
      <w:pPr>
        <w:pStyle w:val="Header"/>
        <w:spacing w:line="276" w:lineRule="auto"/>
        <w:rPr>
          <w:rFonts w:ascii="Garamond" w:hAnsi="Garamond" w:cs="Times New Roman"/>
        </w:rPr>
      </w:pPr>
    </w:p>
    <w:p w14:paraId="52A4466B" w14:textId="77777777" w:rsidR="00A71672" w:rsidRDefault="00A71672" w:rsidP="00326B3B">
      <w:pPr>
        <w:pStyle w:val="Header"/>
        <w:spacing w:line="276" w:lineRule="auto"/>
        <w:rPr>
          <w:rFonts w:ascii="Garamond" w:hAnsi="Garamond" w:cs="Times New Roman"/>
        </w:rPr>
      </w:pPr>
    </w:p>
    <w:p w14:paraId="26B7FB4E" w14:textId="77777777" w:rsidR="00A71672" w:rsidRDefault="00A71672" w:rsidP="00326B3B">
      <w:pPr>
        <w:pStyle w:val="Header"/>
        <w:spacing w:line="276" w:lineRule="auto"/>
        <w:rPr>
          <w:rFonts w:ascii="Garamond" w:hAnsi="Garamond" w:cs="Times New Roman"/>
        </w:rPr>
      </w:pPr>
    </w:p>
    <w:p w14:paraId="11B0DBEA" w14:textId="77777777" w:rsidR="00A71672" w:rsidRDefault="00A71672" w:rsidP="00326B3B">
      <w:pPr>
        <w:pStyle w:val="Header"/>
        <w:spacing w:line="276" w:lineRule="auto"/>
        <w:rPr>
          <w:rFonts w:ascii="Garamond" w:hAnsi="Garamond" w:cs="Times New Roman"/>
        </w:rPr>
      </w:pPr>
    </w:p>
    <w:p w14:paraId="6C14199D" w14:textId="77777777" w:rsidR="00A71672" w:rsidRDefault="00A71672" w:rsidP="00326B3B">
      <w:pPr>
        <w:pStyle w:val="Header"/>
        <w:spacing w:line="276" w:lineRule="auto"/>
        <w:rPr>
          <w:rFonts w:ascii="Garamond" w:hAnsi="Garamond" w:cs="Times New Roman"/>
        </w:rPr>
      </w:pPr>
    </w:p>
    <w:p w14:paraId="3BE3EA71" w14:textId="77777777" w:rsidR="00A71672" w:rsidRDefault="00A71672" w:rsidP="00326B3B">
      <w:pPr>
        <w:pStyle w:val="Header"/>
        <w:spacing w:line="276" w:lineRule="auto"/>
        <w:rPr>
          <w:rFonts w:ascii="Garamond" w:hAnsi="Garamond" w:cs="Times New Roman"/>
        </w:rPr>
      </w:pPr>
    </w:p>
    <w:p w14:paraId="41E3AD4D" w14:textId="77777777" w:rsidR="00A71672" w:rsidRDefault="00A71672" w:rsidP="00326B3B">
      <w:pPr>
        <w:pStyle w:val="Header"/>
        <w:spacing w:line="276" w:lineRule="auto"/>
        <w:rPr>
          <w:rFonts w:ascii="Garamond" w:hAnsi="Garamond" w:cs="Times New Roman"/>
        </w:rPr>
      </w:pPr>
    </w:p>
    <w:p w14:paraId="757DFD05" w14:textId="3D289BB4" w:rsidR="00A71672" w:rsidRDefault="00A71672" w:rsidP="00326B3B">
      <w:pPr>
        <w:pStyle w:val="Header"/>
        <w:spacing w:line="276" w:lineRule="auto"/>
        <w:rPr>
          <w:rFonts w:ascii="Garamond" w:hAnsi="Garamond" w:cs="Times New Roman"/>
        </w:rPr>
      </w:pPr>
      <w:r>
        <w:rPr>
          <w:rFonts w:ascii="Garamond" w:hAnsi="Garamond" w:cs="Times New Roman"/>
          <w:b/>
          <w:bCs/>
          <w:noProof/>
        </w:rPr>
        <w:lastRenderedPageBreak/>
        <w:drawing>
          <wp:anchor distT="0" distB="0" distL="114300" distR="114300" simplePos="0" relativeHeight="251665408" behindDoc="0" locked="0" layoutInCell="1" allowOverlap="1" wp14:anchorId="7801559F" wp14:editId="0E1745D8">
            <wp:simplePos x="0" y="0"/>
            <wp:positionH relativeFrom="column">
              <wp:posOffset>-287566</wp:posOffset>
            </wp:positionH>
            <wp:positionV relativeFrom="paragraph">
              <wp:posOffset>167</wp:posOffset>
            </wp:positionV>
            <wp:extent cx="6533147" cy="4074143"/>
            <wp:effectExtent l="12700" t="12700" r="7620" b="15875"/>
            <wp:wrapTopAndBottom/>
            <wp:docPr id="1427657570" name="Picture 1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657570" name="Picture 12" descr="A graph of different colored ba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33147" cy="4074143"/>
                    </a:xfrm>
                    <a:prstGeom prst="rect">
                      <a:avLst/>
                    </a:prstGeom>
                    <a:ln>
                      <a:solidFill>
                        <a:schemeClr val="accent1">
                          <a:shade val="15000"/>
                        </a:schemeClr>
                      </a:solidFill>
                    </a:ln>
                  </pic:spPr>
                </pic:pic>
              </a:graphicData>
            </a:graphic>
            <wp14:sizeRelH relativeFrom="page">
              <wp14:pctWidth>0</wp14:pctWidth>
            </wp14:sizeRelH>
            <wp14:sizeRelV relativeFrom="page">
              <wp14:pctHeight>0</wp14:pctHeight>
            </wp14:sizeRelV>
          </wp:anchor>
        </w:drawing>
      </w:r>
    </w:p>
    <w:p w14:paraId="5FBD69D2" w14:textId="756EF7E2" w:rsidR="00D9010C" w:rsidRDefault="00BF2C29" w:rsidP="00326B3B">
      <w:pPr>
        <w:pStyle w:val="Header"/>
        <w:spacing w:line="276" w:lineRule="auto"/>
        <w:rPr>
          <w:rFonts w:ascii="Garamond" w:hAnsi="Garamond" w:cs="Times New Roman"/>
        </w:rPr>
      </w:pPr>
      <w:r w:rsidRPr="00BF2C29">
        <w:rPr>
          <w:rFonts w:ascii="Garamond" w:hAnsi="Garamond" w:cs="Times New Roman"/>
        </w:rPr>
        <w:t xml:space="preserve">The outcomes depicted above indicate a lack of substantial impact of internet usage on participants' emotions. Specifically, when examining feelings of being nervous or on edge, </w:t>
      </w:r>
      <w:proofErr w:type="gramStart"/>
      <w:r w:rsidRPr="00BF2C29">
        <w:rPr>
          <w:rFonts w:ascii="Garamond" w:hAnsi="Garamond" w:cs="Times New Roman"/>
        </w:rPr>
        <w:t>the majority of</w:t>
      </w:r>
      <w:proofErr w:type="gramEnd"/>
      <w:r w:rsidRPr="00BF2C29">
        <w:rPr>
          <w:rFonts w:ascii="Garamond" w:hAnsi="Garamond" w:cs="Times New Roman"/>
        </w:rPr>
        <w:t xml:space="preserve"> participants reported minimal to no experience of these emotions irrespective of their internet usage. Similarly, for emotions related to depression or hopelessness, most participants did not report such feelings, regardless of their frequency of internet usage. In the case of feeling worried or anxious, the prevalent pattern reveals that participants tended to experience these emotions a few times a year. Notably, a higher frequency of feeling worried or anxious was observed when participants reported almost constant or several times a day internet usage.</w:t>
      </w:r>
    </w:p>
    <w:p w14:paraId="73D2A899" w14:textId="77777777" w:rsidR="000B66E6" w:rsidRDefault="000B66E6" w:rsidP="00326B3B">
      <w:pPr>
        <w:pStyle w:val="Header"/>
        <w:spacing w:line="276" w:lineRule="auto"/>
        <w:rPr>
          <w:rFonts w:ascii="Garamond" w:hAnsi="Garamond" w:cs="Times New Roman"/>
        </w:rPr>
      </w:pPr>
    </w:p>
    <w:p w14:paraId="43B3B20B" w14:textId="35B5C04F" w:rsidR="00C414D3" w:rsidRDefault="00941BAD" w:rsidP="00326B3B">
      <w:pPr>
        <w:pStyle w:val="Header"/>
        <w:spacing w:line="276" w:lineRule="auto"/>
        <w:rPr>
          <w:rFonts w:ascii="Garamond" w:hAnsi="Garamond" w:cs="Times New Roman"/>
        </w:rPr>
      </w:pPr>
      <w:r w:rsidRPr="00941BAD">
        <w:rPr>
          <w:rFonts w:ascii="Garamond" w:hAnsi="Garamond" w:cs="Times New Roman"/>
        </w:rPr>
        <w:t>In conclusion, the comprehensive examination of demographic profiles and emotional responses within the two datasets illuminates alignment and consistency. The gender distribution, with only minor variations in age representation, underscores the overall congruence in demographic characteristics between the RANDS and ATP datasets. The findings further reveal a nuanced relationship between internet usage and emotional states. Despite limited emotional impact observed on average, certain trends emerged, particularly with heightened feelings of worry or anxiety associated with more frequent internet use. Notably, it's worth highlighting that the increased data usage during the COVID-19 era did not show significant correlations with adverse mental health factors on a broad scale</w:t>
      </w:r>
      <w:r w:rsidR="00CA27C7">
        <w:rPr>
          <w:rFonts w:ascii="Garamond" w:hAnsi="Garamond" w:cs="Times New Roman"/>
        </w:rPr>
        <w:t>.</w:t>
      </w:r>
    </w:p>
    <w:p w14:paraId="1599C784" w14:textId="77777777" w:rsidR="00C307CE" w:rsidRDefault="00C307CE" w:rsidP="00326B3B">
      <w:pPr>
        <w:pStyle w:val="Header"/>
        <w:spacing w:line="276" w:lineRule="auto"/>
        <w:rPr>
          <w:rFonts w:ascii="Garamond" w:hAnsi="Garamond" w:cs="Times New Roman"/>
        </w:rPr>
      </w:pPr>
    </w:p>
    <w:p w14:paraId="0A2F9779" w14:textId="173B843F" w:rsidR="00C414D3" w:rsidRDefault="00C414D3" w:rsidP="00326B3B">
      <w:pPr>
        <w:pStyle w:val="Header"/>
        <w:spacing w:line="276" w:lineRule="auto"/>
        <w:rPr>
          <w:rFonts w:ascii="Garamond" w:hAnsi="Garamond" w:cs="Times New Roman"/>
          <w:b/>
          <w:bCs/>
          <w:sz w:val="28"/>
          <w:szCs w:val="28"/>
        </w:rPr>
      </w:pPr>
      <w:r w:rsidRPr="00C414D3">
        <w:rPr>
          <w:rFonts w:ascii="Garamond" w:hAnsi="Garamond" w:cs="Times New Roman"/>
          <w:b/>
          <w:bCs/>
          <w:sz w:val="28"/>
          <w:szCs w:val="28"/>
        </w:rPr>
        <w:lastRenderedPageBreak/>
        <w:t>Limitations</w:t>
      </w:r>
      <w:r>
        <w:rPr>
          <w:rFonts w:ascii="Garamond" w:hAnsi="Garamond" w:cs="Times New Roman"/>
          <w:b/>
          <w:bCs/>
          <w:sz w:val="28"/>
          <w:szCs w:val="28"/>
        </w:rPr>
        <w:t>:</w:t>
      </w:r>
    </w:p>
    <w:p w14:paraId="37831C0E" w14:textId="615D1DBA" w:rsidR="00C414D3" w:rsidRPr="00C414D3" w:rsidRDefault="00C414D3" w:rsidP="00C414D3">
      <w:pPr>
        <w:pStyle w:val="Header"/>
        <w:spacing w:line="276" w:lineRule="auto"/>
        <w:rPr>
          <w:rFonts w:ascii="Garamond" w:hAnsi="Garamond" w:cs="Times New Roman"/>
        </w:rPr>
      </w:pPr>
      <w:r w:rsidRPr="00C414D3">
        <w:rPr>
          <w:rFonts w:ascii="Garamond" w:hAnsi="Garamond" w:cs="Times New Roman"/>
        </w:rPr>
        <w:t>Analyzing the datasets and their respective visualizations reveals certain limitations that must be acknowledged in the interpretation of the findings. Firstly, the reliance on self-reported data introduces the potential for response bias. Participants may underreport or overreport their internet usage or emotional states, impacting the accuracy of the conclusions drawn.</w:t>
      </w:r>
    </w:p>
    <w:p w14:paraId="3BD81F13" w14:textId="77777777" w:rsidR="00C414D3" w:rsidRPr="00C414D3" w:rsidRDefault="00C414D3" w:rsidP="00C414D3">
      <w:pPr>
        <w:pStyle w:val="Header"/>
        <w:spacing w:line="276" w:lineRule="auto"/>
        <w:rPr>
          <w:rFonts w:ascii="Garamond" w:hAnsi="Garamond" w:cs="Times New Roman"/>
        </w:rPr>
      </w:pPr>
    </w:p>
    <w:p w14:paraId="099B77E0" w14:textId="54902D11" w:rsidR="00C414D3" w:rsidRDefault="00C414D3" w:rsidP="00C414D3">
      <w:pPr>
        <w:pStyle w:val="Header"/>
        <w:spacing w:line="276" w:lineRule="auto"/>
        <w:rPr>
          <w:rFonts w:ascii="Garamond" w:hAnsi="Garamond" w:cs="Times New Roman"/>
        </w:rPr>
      </w:pPr>
      <w:r w:rsidRPr="00C414D3">
        <w:rPr>
          <w:rFonts w:ascii="Garamond" w:hAnsi="Garamond" w:cs="Times New Roman"/>
        </w:rPr>
        <w:t>Furthermore, the age distribution in the datasets may introduce a limitation. The age groupings employed might oversimplify the diverse experiences within each category, potentially masking nuanced trends specific to narrower age ranges. Additionally, the absence of granularity in the education level variable may limit the depth of insights, as participants with diverse educational backgrounds are grouped into broad categories.</w:t>
      </w:r>
    </w:p>
    <w:p w14:paraId="5AD36E22" w14:textId="77777777" w:rsidR="00C307CE" w:rsidRPr="00C414D3" w:rsidRDefault="00C307CE" w:rsidP="00C414D3">
      <w:pPr>
        <w:pStyle w:val="Header"/>
        <w:spacing w:line="276" w:lineRule="auto"/>
        <w:rPr>
          <w:rFonts w:ascii="Garamond" w:hAnsi="Garamond" w:cs="Times New Roman"/>
        </w:rPr>
      </w:pPr>
    </w:p>
    <w:p w14:paraId="2C527211" w14:textId="77777777" w:rsidR="00C414D3" w:rsidRPr="00C414D3" w:rsidRDefault="00C414D3" w:rsidP="00C414D3">
      <w:pPr>
        <w:pStyle w:val="Header"/>
        <w:spacing w:line="276" w:lineRule="auto"/>
        <w:rPr>
          <w:rFonts w:ascii="Garamond" w:hAnsi="Garamond" w:cs="Times New Roman"/>
        </w:rPr>
      </w:pPr>
      <w:r w:rsidRPr="00C414D3">
        <w:rPr>
          <w:rFonts w:ascii="Garamond" w:hAnsi="Garamond" w:cs="Times New Roman"/>
        </w:rPr>
        <w:t>A noteworthy methodological difference between the datasets lies in the measurement of internet usage. The pre-COVID data records internet usage numerically, providing a quantitative measure of the extent of participants' online engagement. In contrast, the COVID-19 dataset measures internet usage categorically, assigning participants to distinct usage groups. This shift from numerical to categorical measurement introduces a challenge when attempting to directly compare internet usage patterns before and during the COVID-19 pandemic. The transition between these measurement approaches may impact the ability to draw precise conclusions about changes in internet usage behaviors over time. Additionally, this methodological difference underscores the importance of considering the unique characteristics and limitations of each dataset independently, as the categorization may introduce a level of abstraction that affects the reliability and comparability of the findings.</w:t>
      </w:r>
    </w:p>
    <w:p w14:paraId="6180659F" w14:textId="77777777" w:rsidR="00C414D3" w:rsidRPr="00C414D3" w:rsidRDefault="00C414D3" w:rsidP="00C414D3">
      <w:pPr>
        <w:pStyle w:val="Header"/>
        <w:spacing w:line="276" w:lineRule="auto"/>
        <w:rPr>
          <w:rFonts w:ascii="Garamond" w:hAnsi="Garamond" w:cs="Times New Roman"/>
        </w:rPr>
      </w:pPr>
    </w:p>
    <w:p w14:paraId="65DA7763" w14:textId="15C779BA" w:rsidR="00C414D3" w:rsidRPr="00C414D3" w:rsidRDefault="00C414D3" w:rsidP="00C414D3">
      <w:pPr>
        <w:pStyle w:val="Header"/>
        <w:spacing w:line="276" w:lineRule="auto"/>
        <w:rPr>
          <w:rFonts w:ascii="Garamond" w:hAnsi="Garamond" w:cs="Times New Roman"/>
        </w:rPr>
      </w:pPr>
      <w:r w:rsidRPr="00C414D3">
        <w:rPr>
          <w:rFonts w:ascii="Garamond" w:hAnsi="Garamond" w:cs="Times New Roman"/>
        </w:rPr>
        <w:t>In summary, a critical consideration of these limitations is essential for a nuanced understanding of the datasets and their visualizations. These constraints highlight the need for caution in generalizing findings and emphasize the importance of contextualizing results within the broader scope of data collection methodologies and potential biases.</w:t>
      </w:r>
    </w:p>
    <w:sectPr w:rsidR="00C414D3" w:rsidRPr="00C414D3" w:rsidSect="008B558E">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A3960" w14:textId="77777777" w:rsidR="00792467" w:rsidRDefault="00792467" w:rsidP="00D2643A">
      <w:r>
        <w:separator/>
      </w:r>
    </w:p>
  </w:endnote>
  <w:endnote w:type="continuationSeparator" w:id="0">
    <w:p w14:paraId="4FDE10A4" w14:textId="77777777" w:rsidR="00792467" w:rsidRDefault="00792467" w:rsidP="00D26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D809D" w14:textId="77777777" w:rsidR="00792467" w:rsidRDefault="00792467" w:rsidP="00D2643A">
      <w:r>
        <w:separator/>
      </w:r>
    </w:p>
  </w:footnote>
  <w:footnote w:type="continuationSeparator" w:id="0">
    <w:p w14:paraId="77B985D5" w14:textId="77777777" w:rsidR="00792467" w:rsidRDefault="00792467" w:rsidP="00D2643A">
      <w:r>
        <w:continuationSeparator/>
      </w:r>
    </w:p>
  </w:footnote>
  <w:footnote w:id="1">
    <w:p w14:paraId="6227D098" w14:textId="22873F7D" w:rsidR="00CA756B" w:rsidRPr="0030210B" w:rsidRDefault="00CA756B" w:rsidP="0030210B">
      <w:pPr>
        <w:spacing w:line="276" w:lineRule="auto"/>
        <w:rPr>
          <w:rFonts w:ascii="Garamond" w:hAnsi="Garamond"/>
        </w:rPr>
      </w:pPr>
      <w:r>
        <w:rPr>
          <w:rStyle w:val="FootnoteReference"/>
        </w:rPr>
        <w:footnoteRef/>
      </w:r>
      <w:r>
        <w:t xml:space="preserve"> </w:t>
      </w:r>
      <w:r w:rsidR="0030210B">
        <w:rPr>
          <w:rFonts w:ascii="Garamond" w:hAnsi="Garamond"/>
        </w:rPr>
        <w:t xml:space="preserve">RANDS DATASETS: </w:t>
      </w:r>
      <w:hyperlink r:id="rId1" w:history="1">
        <w:r w:rsidR="0030210B" w:rsidRPr="00F06C98">
          <w:rPr>
            <w:rStyle w:val="Hyperlink"/>
            <w:rFonts w:ascii="Garamond" w:hAnsi="Garamond"/>
          </w:rPr>
          <w:t>https://www.cdc.gov/nchs/rands/r1probsample.htm</w:t>
        </w:r>
      </w:hyperlink>
      <w:r w:rsidR="0030210B">
        <w:rPr>
          <w:rFonts w:ascii="Garamond" w:hAnsi="Garamond"/>
        </w:rPr>
        <w:t xml:space="preserve"> </w:t>
      </w:r>
    </w:p>
  </w:footnote>
  <w:footnote w:id="2">
    <w:p w14:paraId="12F8BE20" w14:textId="77777777" w:rsidR="0030210B" w:rsidRPr="005E41B6" w:rsidRDefault="0030210B" w:rsidP="0030210B">
      <w:pPr>
        <w:spacing w:line="276" w:lineRule="auto"/>
        <w:rPr>
          <w:rFonts w:ascii="Garamond" w:hAnsi="Garamond"/>
        </w:rPr>
      </w:pPr>
      <w:r>
        <w:rPr>
          <w:rStyle w:val="FootnoteReference"/>
        </w:rPr>
        <w:footnoteRef/>
      </w:r>
      <w:r>
        <w:t xml:space="preserve"> </w:t>
      </w:r>
      <w:r>
        <w:rPr>
          <w:rFonts w:ascii="Garamond" w:hAnsi="Garamond"/>
        </w:rPr>
        <w:t xml:space="preserve">ATP DATASETS: </w:t>
      </w:r>
      <w:hyperlink r:id="rId2" w:history="1">
        <w:r w:rsidRPr="00F06C98">
          <w:rPr>
            <w:rStyle w:val="Hyperlink"/>
            <w:rFonts w:ascii="Garamond" w:hAnsi="Garamond"/>
          </w:rPr>
          <w:t>https://www.pewresearch.org/american-trends-panel-datasets/</w:t>
        </w:r>
      </w:hyperlink>
      <w:r>
        <w:rPr>
          <w:rFonts w:ascii="Garamond" w:hAnsi="Garamond"/>
        </w:rPr>
        <w:t xml:space="preserve"> </w:t>
      </w:r>
    </w:p>
    <w:p w14:paraId="4EC26393" w14:textId="6BA28B78" w:rsidR="0030210B" w:rsidRDefault="0030210B">
      <w:pPr>
        <w:pStyle w:val="FootnoteText"/>
      </w:pPr>
    </w:p>
  </w:footnote>
  <w:footnote w:id="3">
    <w:p w14:paraId="77DA83DC" w14:textId="28FDEE59" w:rsidR="00871C03" w:rsidRDefault="00871C03">
      <w:pPr>
        <w:pStyle w:val="FootnoteText"/>
      </w:pPr>
      <w:r>
        <w:rPr>
          <w:rStyle w:val="FootnoteReference"/>
        </w:rPr>
        <w:footnoteRef/>
      </w:r>
      <w:r>
        <w:t xml:space="preserve"> </w:t>
      </w:r>
      <w:hyperlink r:id="rId3" w:history="1">
        <w:r w:rsidR="00B61133" w:rsidRPr="00CD05EB">
          <w:rPr>
            <w:rStyle w:val="Hyperlink"/>
          </w:rPr>
          <w:t>https://www.cdc.gov/nchs/rands/fil</w:t>
        </w:r>
        <w:r w:rsidR="00B61133" w:rsidRPr="00CD05EB">
          <w:rPr>
            <w:rStyle w:val="Hyperlink"/>
          </w:rPr>
          <w:t>e</w:t>
        </w:r>
        <w:r w:rsidR="00B61133" w:rsidRPr="00CD05EB">
          <w:rPr>
            <w:rStyle w:val="Hyperlink"/>
          </w:rPr>
          <w:t>s/RANDS1_codebook.pdf</w:t>
        </w:r>
      </w:hyperlink>
      <w:r w:rsidR="00B61133">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7A10C" w14:textId="5D152097" w:rsidR="002D5C3F" w:rsidRPr="002D5C3F" w:rsidRDefault="002D5C3F" w:rsidP="00083D2A">
    <w:pPr>
      <w:pStyle w:val="Header"/>
      <w:jc w:val="right"/>
      <w:rPr>
        <w:rFonts w:ascii="Garamond" w:hAnsi="Garamond"/>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0EA05" w14:textId="77777777" w:rsidR="008B558E" w:rsidRPr="002D5C3F" w:rsidRDefault="008B558E" w:rsidP="008B558E">
    <w:pPr>
      <w:pStyle w:val="Header"/>
      <w:jc w:val="right"/>
      <w:rPr>
        <w:rFonts w:ascii="Garamond" w:hAnsi="Garamond"/>
      </w:rPr>
    </w:pPr>
    <w:r w:rsidRPr="002D5C3F">
      <w:rPr>
        <w:rFonts w:ascii="Garamond" w:hAnsi="Garamond"/>
      </w:rPr>
      <w:t>Tori White</w:t>
    </w:r>
  </w:p>
  <w:p w14:paraId="646E8FD1" w14:textId="77777777" w:rsidR="008B558E" w:rsidRPr="002D5C3F" w:rsidRDefault="008B558E" w:rsidP="008B558E">
    <w:pPr>
      <w:pStyle w:val="Header"/>
      <w:jc w:val="right"/>
      <w:rPr>
        <w:rFonts w:ascii="Garamond" w:hAnsi="Garamond"/>
      </w:rPr>
    </w:pPr>
    <w:r w:rsidRPr="002D5C3F">
      <w:rPr>
        <w:rFonts w:ascii="Garamond" w:hAnsi="Garamond"/>
      </w:rPr>
      <w:t>11/29/2023</w:t>
    </w:r>
  </w:p>
  <w:p w14:paraId="00902224" w14:textId="77777777" w:rsidR="008B558E" w:rsidRPr="002D5C3F" w:rsidRDefault="008B558E" w:rsidP="008B558E">
    <w:pPr>
      <w:pStyle w:val="Header"/>
      <w:jc w:val="right"/>
      <w:rPr>
        <w:rFonts w:ascii="Garamond" w:hAnsi="Garamond"/>
      </w:rPr>
    </w:pPr>
    <w:r w:rsidRPr="002D5C3F">
      <w:rPr>
        <w:rFonts w:ascii="Garamond" w:hAnsi="Garamond"/>
      </w:rPr>
      <w:t>Doctor Nick Hagerty</w:t>
    </w:r>
  </w:p>
  <w:p w14:paraId="347A710E" w14:textId="77777777" w:rsidR="008B558E" w:rsidRPr="002D5C3F" w:rsidRDefault="008B558E" w:rsidP="008B558E">
    <w:pPr>
      <w:pStyle w:val="Header"/>
      <w:jc w:val="right"/>
      <w:rPr>
        <w:rFonts w:ascii="Garamond" w:hAnsi="Garamond"/>
      </w:rPr>
    </w:pPr>
    <w:r w:rsidRPr="002D5C3F">
      <w:rPr>
        <w:rFonts w:ascii="Garamond" w:hAnsi="Garamond"/>
      </w:rPr>
      <w:t>ECNS460</w:t>
    </w:r>
  </w:p>
  <w:p w14:paraId="585005D8" w14:textId="77777777" w:rsidR="008B558E" w:rsidRPr="002D5C3F" w:rsidRDefault="008B558E" w:rsidP="008B558E">
    <w:pPr>
      <w:pStyle w:val="Header"/>
      <w:jc w:val="right"/>
      <w:rPr>
        <w:rFonts w:ascii="Garamond" w:hAnsi="Garamond"/>
      </w:rPr>
    </w:pPr>
    <w:r w:rsidRPr="002D5C3F">
      <w:rPr>
        <w:rFonts w:ascii="Garamond" w:hAnsi="Garamond"/>
      </w:rPr>
      <w:t>Term Paper</w:t>
    </w:r>
  </w:p>
  <w:p w14:paraId="4B6D4E89" w14:textId="77777777" w:rsidR="00D05C5A" w:rsidRDefault="00D05C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C6D"/>
    <w:rsid w:val="00001B00"/>
    <w:rsid w:val="00023AA2"/>
    <w:rsid w:val="00027826"/>
    <w:rsid w:val="00031ED5"/>
    <w:rsid w:val="00063FEF"/>
    <w:rsid w:val="00064CE0"/>
    <w:rsid w:val="00074794"/>
    <w:rsid w:val="00074D20"/>
    <w:rsid w:val="00083D2A"/>
    <w:rsid w:val="00092BA9"/>
    <w:rsid w:val="000B66E6"/>
    <w:rsid w:val="000C3B47"/>
    <w:rsid w:val="000D53C5"/>
    <w:rsid w:val="000D6C9D"/>
    <w:rsid w:val="000E0587"/>
    <w:rsid w:val="00104480"/>
    <w:rsid w:val="00104A2B"/>
    <w:rsid w:val="00122F50"/>
    <w:rsid w:val="0012745A"/>
    <w:rsid w:val="001320A5"/>
    <w:rsid w:val="00142924"/>
    <w:rsid w:val="00147BBA"/>
    <w:rsid w:val="00151BB1"/>
    <w:rsid w:val="00171F30"/>
    <w:rsid w:val="00182DE4"/>
    <w:rsid w:val="00183085"/>
    <w:rsid w:val="00196A9D"/>
    <w:rsid w:val="001A23E5"/>
    <w:rsid w:val="001A28DC"/>
    <w:rsid w:val="001B2684"/>
    <w:rsid w:val="001B6C6D"/>
    <w:rsid w:val="001C1888"/>
    <w:rsid w:val="001C7A5F"/>
    <w:rsid w:val="001D5B2C"/>
    <w:rsid w:val="001E5F78"/>
    <w:rsid w:val="001F1143"/>
    <w:rsid w:val="002059C1"/>
    <w:rsid w:val="00220F0D"/>
    <w:rsid w:val="00224C31"/>
    <w:rsid w:val="002318DF"/>
    <w:rsid w:val="00232C91"/>
    <w:rsid w:val="002374AE"/>
    <w:rsid w:val="00242135"/>
    <w:rsid w:val="002448A0"/>
    <w:rsid w:val="00263BEA"/>
    <w:rsid w:val="002826DD"/>
    <w:rsid w:val="00286B04"/>
    <w:rsid w:val="00294F7C"/>
    <w:rsid w:val="002A5173"/>
    <w:rsid w:val="002B2DCC"/>
    <w:rsid w:val="002C0C0E"/>
    <w:rsid w:val="002C4C63"/>
    <w:rsid w:val="002C6A1B"/>
    <w:rsid w:val="002D3A5B"/>
    <w:rsid w:val="002D5C3F"/>
    <w:rsid w:val="002E6948"/>
    <w:rsid w:val="002F3FA2"/>
    <w:rsid w:val="002F4678"/>
    <w:rsid w:val="002F5211"/>
    <w:rsid w:val="0030210B"/>
    <w:rsid w:val="00321120"/>
    <w:rsid w:val="0032284A"/>
    <w:rsid w:val="00326B3B"/>
    <w:rsid w:val="00340C18"/>
    <w:rsid w:val="00346AF9"/>
    <w:rsid w:val="0038181C"/>
    <w:rsid w:val="00385920"/>
    <w:rsid w:val="003A3DE0"/>
    <w:rsid w:val="003B1E86"/>
    <w:rsid w:val="003B2FD8"/>
    <w:rsid w:val="003B332F"/>
    <w:rsid w:val="003B3F65"/>
    <w:rsid w:val="003B761D"/>
    <w:rsid w:val="003C7452"/>
    <w:rsid w:val="004012DC"/>
    <w:rsid w:val="0040405E"/>
    <w:rsid w:val="00412906"/>
    <w:rsid w:val="00444D14"/>
    <w:rsid w:val="004541F6"/>
    <w:rsid w:val="00475B08"/>
    <w:rsid w:val="00476924"/>
    <w:rsid w:val="0049391F"/>
    <w:rsid w:val="00495F76"/>
    <w:rsid w:val="004966D5"/>
    <w:rsid w:val="004A2CA2"/>
    <w:rsid w:val="004A3927"/>
    <w:rsid w:val="004B1C43"/>
    <w:rsid w:val="004B5234"/>
    <w:rsid w:val="004C6ABA"/>
    <w:rsid w:val="004D7354"/>
    <w:rsid w:val="004E672B"/>
    <w:rsid w:val="004F06CE"/>
    <w:rsid w:val="004F1C71"/>
    <w:rsid w:val="004F7B6B"/>
    <w:rsid w:val="00501AF8"/>
    <w:rsid w:val="00510099"/>
    <w:rsid w:val="00514D38"/>
    <w:rsid w:val="005151FF"/>
    <w:rsid w:val="00515C3C"/>
    <w:rsid w:val="00520A68"/>
    <w:rsid w:val="0053447D"/>
    <w:rsid w:val="00554FE2"/>
    <w:rsid w:val="0055712A"/>
    <w:rsid w:val="0057477C"/>
    <w:rsid w:val="00581987"/>
    <w:rsid w:val="005913F0"/>
    <w:rsid w:val="00592C2E"/>
    <w:rsid w:val="005A3A09"/>
    <w:rsid w:val="005B6C5F"/>
    <w:rsid w:val="005D2DD4"/>
    <w:rsid w:val="005D6687"/>
    <w:rsid w:val="005D7226"/>
    <w:rsid w:val="005E6EBF"/>
    <w:rsid w:val="006407D7"/>
    <w:rsid w:val="00652E7E"/>
    <w:rsid w:val="00657AAC"/>
    <w:rsid w:val="006855A3"/>
    <w:rsid w:val="006A15F1"/>
    <w:rsid w:val="006B72EC"/>
    <w:rsid w:val="006C0A79"/>
    <w:rsid w:val="006E3883"/>
    <w:rsid w:val="006F049F"/>
    <w:rsid w:val="006F61D6"/>
    <w:rsid w:val="00710023"/>
    <w:rsid w:val="00710894"/>
    <w:rsid w:val="0072298D"/>
    <w:rsid w:val="00731BDC"/>
    <w:rsid w:val="007372D2"/>
    <w:rsid w:val="0075211A"/>
    <w:rsid w:val="007577E0"/>
    <w:rsid w:val="007676B3"/>
    <w:rsid w:val="00781DD7"/>
    <w:rsid w:val="00784621"/>
    <w:rsid w:val="007920DA"/>
    <w:rsid w:val="00792467"/>
    <w:rsid w:val="00797CB6"/>
    <w:rsid w:val="007A0EEC"/>
    <w:rsid w:val="007B16FE"/>
    <w:rsid w:val="007B3AAD"/>
    <w:rsid w:val="007C6A27"/>
    <w:rsid w:val="007D2634"/>
    <w:rsid w:val="007E7609"/>
    <w:rsid w:val="007F38A5"/>
    <w:rsid w:val="00803F82"/>
    <w:rsid w:val="008053C2"/>
    <w:rsid w:val="00805570"/>
    <w:rsid w:val="00813435"/>
    <w:rsid w:val="00831DD9"/>
    <w:rsid w:val="00834538"/>
    <w:rsid w:val="008362BF"/>
    <w:rsid w:val="00840167"/>
    <w:rsid w:val="00841D0F"/>
    <w:rsid w:val="008518BD"/>
    <w:rsid w:val="00866B8B"/>
    <w:rsid w:val="00871C03"/>
    <w:rsid w:val="00871CAD"/>
    <w:rsid w:val="00880E55"/>
    <w:rsid w:val="0088577D"/>
    <w:rsid w:val="00885FD4"/>
    <w:rsid w:val="00893C21"/>
    <w:rsid w:val="008B558E"/>
    <w:rsid w:val="008C0F34"/>
    <w:rsid w:val="008C159E"/>
    <w:rsid w:val="008D066D"/>
    <w:rsid w:val="008D1EA5"/>
    <w:rsid w:val="008D4B92"/>
    <w:rsid w:val="008E2B1E"/>
    <w:rsid w:val="008F0854"/>
    <w:rsid w:val="008F18FF"/>
    <w:rsid w:val="008F255C"/>
    <w:rsid w:val="00927C57"/>
    <w:rsid w:val="0093000A"/>
    <w:rsid w:val="00934AA0"/>
    <w:rsid w:val="00941BAD"/>
    <w:rsid w:val="00941FBB"/>
    <w:rsid w:val="00951038"/>
    <w:rsid w:val="00953C84"/>
    <w:rsid w:val="009540E9"/>
    <w:rsid w:val="00954187"/>
    <w:rsid w:val="00956576"/>
    <w:rsid w:val="00960AEE"/>
    <w:rsid w:val="009751E3"/>
    <w:rsid w:val="00976469"/>
    <w:rsid w:val="00994A69"/>
    <w:rsid w:val="009950CD"/>
    <w:rsid w:val="009B27FE"/>
    <w:rsid w:val="009C0C3E"/>
    <w:rsid w:val="009D259D"/>
    <w:rsid w:val="009D5672"/>
    <w:rsid w:val="009E052C"/>
    <w:rsid w:val="009E124B"/>
    <w:rsid w:val="009E2469"/>
    <w:rsid w:val="00A065E0"/>
    <w:rsid w:val="00A2179B"/>
    <w:rsid w:val="00A37158"/>
    <w:rsid w:val="00A434E6"/>
    <w:rsid w:val="00A51104"/>
    <w:rsid w:val="00A538EC"/>
    <w:rsid w:val="00A54E19"/>
    <w:rsid w:val="00A63905"/>
    <w:rsid w:val="00A71672"/>
    <w:rsid w:val="00A72184"/>
    <w:rsid w:val="00A722F2"/>
    <w:rsid w:val="00A7690B"/>
    <w:rsid w:val="00A811DF"/>
    <w:rsid w:val="00A974E7"/>
    <w:rsid w:val="00AA5247"/>
    <w:rsid w:val="00AC17EF"/>
    <w:rsid w:val="00AD025D"/>
    <w:rsid w:val="00AD7540"/>
    <w:rsid w:val="00B0392A"/>
    <w:rsid w:val="00B131CB"/>
    <w:rsid w:val="00B153E1"/>
    <w:rsid w:val="00B302EF"/>
    <w:rsid w:val="00B31732"/>
    <w:rsid w:val="00B402FF"/>
    <w:rsid w:val="00B43977"/>
    <w:rsid w:val="00B464BE"/>
    <w:rsid w:val="00B56E2A"/>
    <w:rsid w:val="00B61133"/>
    <w:rsid w:val="00B6513D"/>
    <w:rsid w:val="00B70846"/>
    <w:rsid w:val="00B70F18"/>
    <w:rsid w:val="00B71830"/>
    <w:rsid w:val="00B8796B"/>
    <w:rsid w:val="00B90512"/>
    <w:rsid w:val="00B93EE8"/>
    <w:rsid w:val="00B93FB1"/>
    <w:rsid w:val="00BB59C4"/>
    <w:rsid w:val="00BB6325"/>
    <w:rsid w:val="00BB76A5"/>
    <w:rsid w:val="00BC2DE5"/>
    <w:rsid w:val="00BC47F3"/>
    <w:rsid w:val="00BD33EE"/>
    <w:rsid w:val="00BD5267"/>
    <w:rsid w:val="00BD5300"/>
    <w:rsid w:val="00BF2739"/>
    <w:rsid w:val="00BF2C29"/>
    <w:rsid w:val="00BF7B5B"/>
    <w:rsid w:val="00C03E72"/>
    <w:rsid w:val="00C10EF5"/>
    <w:rsid w:val="00C251B7"/>
    <w:rsid w:val="00C307CE"/>
    <w:rsid w:val="00C414D3"/>
    <w:rsid w:val="00C43FE9"/>
    <w:rsid w:val="00C506A2"/>
    <w:rsid w:val="00C570A2"/>
    <w:rsid w:val="00C81AFD"/>
    <w:rsid w:val="00C858E8"/>
    <w:rsid w:val="00C93A71"/>
    <w:rsid w:val="00C95492"/>
    <w:rsid w:val="00C9689F"/>
    <w:rsid w:val="00CA06C9"/>
    <w:rsid w:val="00CA0CC9"/>
    <w:rsid w:val="00CA27C7"/>
    <w:rsid w:val="00CA56AC"/>
    <w:rsid w:val="00CA756B"/>
    <w:rsid w:val="00CC47F9"/>
    <w:rsid w:val="00CE0692"/>
    <w:rsid w:val="00CF3DE1"/>
    <w:rsid w:val="00CF4CF6"/>
    <w:rsid w:val="00CF6B6D"/>
    <w:rsid w:val="00D03D01"/>
    <w:rsid w:val="00D05C5A"/>
    <w:rsid w:val="00D06069"/>
    <w:rsid w:val="00D077AC"/>
    <w:rsid w:val="00D16AE1"/>
    <w:rsid w:val="00D2643A"/>
    <w:rsid w:val="00D3292C"/>
    <w:rsid w:val="00D41DB5"/>
    <w:rsid w:val="00D44336"/>
    <w:rsid w:val="00D55194"/>
    <w:rsid w:val="00D63A83"/>
    <w:rsid w:val="00D65654"/>
    <w:rsid w:val="00D65ED6"/>
    <w:rsid w:val="00D74F40"/>
    <w:rsid w:val="00D9010C"/>
    <w:rsid w:val="00D9033A"/>
    <w:rsid w:val="00DA0188"/>
    <w:rsid w:val="00DC2558"/>
    <w:rsid w:val="00DD4337"/>
    <w:rsid w:val="00DD4DA3"/>
    <w:rsid w:val="00DF002A"/>
    <w:rsid w:val="00DF0945"/>
    <w:rsid w:val="00E17E54"/>
    <w:rsid w:val="00E43ACC"/>
    <w:rsid w:val="00E63C49"/>
    <w:rsid w:val="00E64A03"/>
    <w:rsid w:val="00E730CA"/>
    <w:rsid w:val="00E77586"/>
    <w:rsid w:val="00E81998"/>
    <w:rsid w:val="00E81A40"/>
    <w:rsid w:val="00E87625"/>
    <w:rsid w:val="00E90D96"/>
    <w:rsid w:val="00EB2BD0"/>
    <w:rsid w:val="00EB46D2"/>
    <w:rsid w:val="00EC029E"/>
    <w:rsid w:val="00EC4E7A"/>
    <w:rsid w:val="00ED22E8"/>
    <w:rsid w:val="00ED2A49"/>
    <w:rsid w:val="00EE6E10"/>
    <w:rsid w:val="00EF0E38"/>
    <w:rsid w:val="00EF7409"/>
    <w:rsid w:val="00F11F97"/>
    <w:rsid w:val="00F22AAF"/>
    <w:rsid w:val="00F25CB8"/>
    <w:rsid w:val="00F25E5A"/>
    <w:rsid w:val="00F466B5"/>
    <w:rsid w:val="00F469EC"/>
    <w:rsid w:val="00F518FC"/>
    <w:rsid w:val="00F54390"/>
    <w:rsid w:val="00F57458"/>
    <w:rsid w:val="00F71A38"/>
    <w:rsid w:val="00F77E64"/>
    <w:rsid w:val="00F87577"/>
    <w:rsid w:val="00F90A57"/>
    <w:rsid w:val="00F960D6"/>
    <w:rsid w:val="00FA1CAC"/>
    <w:rsid w:val="00FB7AC3"/>
    <w:rsid w:val="00FC3368"/>
    <w:rsid w:val="00FD2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3828A"/>
  <w15:chartTrackingRefBased/>
  <w15:docId w15:val="{F87357CA-795B-344F-8042-C1BA8D6D0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6C6D"/>
    <w:pPr>
      <w:tabs>
        <w:tab w:val="center" w:pos="4680"/>
        <w:tab w:val="right" w:pos="9360"/>
      </w:tabs>
    </w:pPr>
  </w:style>
  <w:style w:type="character" w:customStyle="1" w:styleId="HeaderChar">
    <w:name w:val="Header Char"/>
    <w:basedOn w:val="DefaultParagraphFont"/>
    <w:link w:val="Header"/>
    <w:uiPriority w:val="99"/>
    <w:rsid w:val="001B6C6D"/>
  </w:style>
  <w:style w:type="character" w:styleId="Hyperlink">
    <w:name w:val="Hyperlink"/>
    <w:basedOn w:val="DefaultParagraphFont"/>
    <w:uiPriority w:val="99"/>
    <w:unhideWhenUsed/>
    <w:rsid w:val="00710023"/>
    <w:rPr>
      <w:color w:val="0563C1" w:themeColor="hyperlink"/>
      <w:u w:val="single"/>
    </w:rPr>
  </w:style>
  <w:style w:type="paragraph" w:styleId="FootnoteText">
    <w:name w:val="footnote text"/>
    <w:basedOn w:val="Normal"/>
    <w:link w:val="FootnoteTextChar"/>
    <w:uiPriority w:val="99"/>
    <w:semiHidden/>
    <w:unhideWhenUsed/>
    <w:rsid w:val="00D2643A"/>
    <w:rPr>
      <w:sz w:val="20"/>
      <w:szCs w:val="20"/>
    </w:rPr>
  </w:style>
  <w:style w:type="character" w:customStyle="1" w:styleId="FootnoteTextChar">
    <w:name w:val="Footnote Text Char"/>
    <w:basedOn w:val="DefaultParagraphFont"/>
    <w:link w:val="FootnoteText"/>
    <w:uiPriority w:val="99"/>
    <w:semiHidden/>
    <w:rsid w:val="00D2643A"/>
    <w:rPr>
      <w:sz w:val="20"/>
      <w:szCs w:val="20"/>
    </w:rPr>
  </w:style>
  <w:style w:type="character" w:styleId="FootnoteReference">
    <w:name w:val="footnote reference"/>
    <w:basedOn w:val="DefaultParagraphFont"/>
    <w:uiPriority w:val="99"/>
    <w:semiHidden/>
    <w:unhideWhenUsed/>
    <w:rsid w:val="00D2643A"/>
    <w:rPr>
      <w:vertAlign w:val="superscript"/>
    </w:rPr>
  </w:style>
  <w:style w:type="character" w:styleId="FollowedHyperlink">
    <w:name w:val="FollowedHyperlink"/>
    <w:basedOn w:val="DefaultParagraphFont"/>
    <w:uiPriority w:val="99"/>
    <w:semiHidden/>
    <w:unhideWhenUsed/>
    <w:rsid w:val="007B16FE"/>
    <w:rPr>
      <w:color w:val="954F72" w:themeColor="followedHyperlink"/>
      <w:u w:val="single"/>
    </w:rPr>
  </w:style>
  <w:style w:type="paragraph" w:styleId="Footer">
    <w:name w:val="footer"/>
    <w:basedOn w:val="Normal"/>
    <w:link w:val="FooterChar"/>
    <w:uiPriority w:val="99"/>
    <w:unhideWhenUsed/>
    <w:rsid w:val="00083D2A"/>
    <w:pPr>
      <w:tabs>
        <w:tab w:val="center" w:pos="4680"/>
        <w:tab w:val="right" w:pos="9360"/>
      </w:tabs>
    </w:pPr>
  </w:style>
  <w:style w:type="character" w:customStyle="1" w:styleId="FooterChar">
    <w:name w:val="Footer Char"/>
    <w:basedOn w:val="DefaultParagraphFont"/>
    <w:link w:val="Footer"/>
    <w:uiPriority w:val="99"/>
    <w:rsid w:val="00083D2A"/>
  </w:style>
  <w:style w:type="character" w:styleId="UnresolvedMention">
    <w:name w:val="Unresolved Mention"/>
    <w:basedOn w:val="DefaultParagraphFont"/>
    <w:uiPriority w:val="99"/>
    <w:semiHidden/>
    <w:unhideWhenUsed/>
    <w:rsid w:val="00B611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cdc.gov/nchs/rands/files/RANDS1_codebook.pdf" TargetMode="External"/><Relationship Id="rId2" Type="http://schemas.openxmlformats.org/officeDocument/2006/relationships/hyperlink" Target="https://www.pewresearch.org/american-trends-panel-datasets/" TargetMode="External"/><Relationship Id="rId1" Type="http://schemas.openxmlformats.org/officeDocument/2006/relationships/hyperlink" Target="https://www.cdc.gov/nchs/rands/r1probsamp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1056</TotalTime>
  <Pages>9</Pages>
  <Words>2320</Words>
  <Characters>13230</Characters>
  <Application>Microsoft Office Word</Application>
  <DocSecurity>0</DocSecurity>
  <Lines>110</Lines>
  <Paragraphs>31</Paragraphs>
  <ScaleCrop>false</ScaleCrop>
  <Company/>
  <LinksUpToDate>false</LinksUpToDate>
  <CharactersWithSpaces>15519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Tori</dc:creator>
  <cp:keywords/>
  <dc:description/>
  <cp:lastModifiedBy>White, Tori</cp:lastModifiedBy>
  <cp:revision>320</cp:revision>
  <dcterms:created xsi:type="dcterms:W3CDTF">2023-11-29T01:18:00Z</dcterms:created>
  <dcterms:modified xsi:type="dcterms:W3CDTF">2023-11-30T03:30:00Z</dcterms:modified>
</cp:coreProperties>
</file>