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PLUGIN BRIEF • 9 OCTOBER 2026</w:t>
      </w:r>
    </w:p>
    <w:p>
      <w:pPr>
        <w:pStyle w:val="Title"/>
      </w:pPr>
      <w:r>
        <w:t>Burst SMS Philippines</w:t>
        <w:br/>
        <w:t>Messaging Library</w:t>
      </w:r>
    </w:p>
    <w:p>
      <w:r>
        <w:t>For the Burst SMS PH Marketing Lab plugin</w:t>
      </w:r>
    </w:p>
    <w:p>
      <w:pPr>
        <w:pStyle w:val="Heading2"/>
      </w:pPr>
      <w:r>
        <w:t>The assignment</w:t>
      </w:r>
    </w:p>
    <w:p>
      <w:r>
        <w:t>Build a complete, reusable messaging library that helps the Philippines team explain, sell, and market Burst SMS consistently. Cover the full shared platform capability set, with messages adapted to Philippine buyers, local operations, and supported delivery paths.</w:t>
      </w:r>
    </w:p>
    <w:p>
      <w:pPr>
        <w:pStyle w:val="Heading2"/>
      </w:pPr>
      <w:r>
        <w:t>Who this is for</w:t>
      </w:r>
    </w:p>
    <w:p>
      <w:r>
        <w:t>The Philippines commercial and marketing team, led by Grace Briones, Country Manager, Philippines. The library must support everyday content creation, enterprise outreach, partner conversations, and sales enablement.</w:t>
      </w:r>
    </w:p>
    <w:p>
      <w:pPr>
        <w:pStyle w:val="Heading2"/>
      </w:pPr>
      <w:r>
        <w:t>What buyers need to understand</w:t>
      </w:r>
    </w:p>
    <w:p>
      <w:r>
        <w:t>Burst SMS can support more than bulk promotional texts. It can connect important customer, citizen, and operational communications to the systems and workflows organisations already use.</w:t>
      </w:r>
    </w:p>
    <w:p>
      <w:pPr>
        <w:pStyle w:val="Heading2"/>
      </w:pPr>
      <w:r>
        <w:t>What we want them to do next</w:t>
      </w:r>
    </w:p>
    <w:p>
      <w:r>
        <w:t>Visit https://burstsms.com.ph/ and talk to the Philippines team about a specific messaging use case.</w:t>
      </w:r>
    </w:p>
    <w:p>
      <w:pPr>
        <w:pStyle w:val="Heading2"/>
      </w:pPr>
      <w:r>
        <w:t>Three mandatory rules</w:t>
      </w:r>
    </w:p>
    <w:p>
      <w:pPr>
        <w:pStyle w:val="ListBullet"/>
      </w:pPr>
      <w:r>
        <w:t>Localise every message for the Philippines, including audience, examples, terminology, currency, timing, and relevant requirements.</w:t>
      </w:r>
    </w:p>
    <w:p>
      <w:pPr>
        <w:pStyle w:val="ListBullet"/>
      </w:pPr>
      <w:r>
        <w:t>Use https://burstsms.com.ph/ as the CTA destination. Use campaign tracking on this domain only. Do not invent landing-page paths.</w:t>
      </w:r>
    </w:p>
    <w:p>
      <w:pPr>
        <w:pStyle w:val="ListBullet"/>
      </w:pPr>
      <w:r>
        <w:t>Promote Burst SMS only. Do not use Kudosity branding, logos, website links, or “powered by Kudosity” in customer-facing marketing.</w:t>
      </w:r>
    </w:p>
    <w:p>
      <w:pPr>
        <w:pStyle w:val="Heading2"/>
      </w:pPr>
      <w:r>
        <w:t>Internal platform context</w:t>
      </w:r>
    </w:p>
    <w:p>
      <w:r>
        <w:t>Tori confirms that Burst SMS Philippines uses the Kudosity platform and has the same features and functionality. Treat this as the internal product foundation, not as a public brand story. Shared platform capability does not override carrier, market, account, or commercial availability requirements.</w:t>
      </w:r>
    </w:p>
    <w:p>
      <w:r>
        <w:br w:type="page"/>
      </w:r>
    </w:p>
    <w:p>
      <w:pPr>
        <w:pStyle w:val="Heading1"/>
      </w:pPr>
      <w:r>
        <w:t>1. Positioning and audience priorities</w:t>
      </w:r>
    </w:p>
    <w:p>
      <w:pPr>
        <w:pStyle w:val="Heading2"/>
      </w:pPr>
      <w:r>
        <w:t>Recommended message foundation</w:t>
      </w:r>
    </w:p>
    <w:p>
      <w:r>
        <w:t>Core line: Business messaging for Philippine organisations.</w:t>
        <w:br/>
        <w:t>Supporting line: Connect customer communication to the way your business works.</w:t>
        <w:br/>
        <w:t>Campaign platform: Simple to start. Built to scale.</w:t>
      </w:r>
    </w:p>
    <w:p>
      <w:r>
        <w:t>Proposed boilerplate: Burst SMS helps organisations in the Philippines connect with customers through messaging. From campaigns and reminders to service alerts and messaging built into applications, we help teams put communication into everyday workflows.</w:t>
      </w:r>
    </w:p>
    <w:p>
      <w:r>
        <w:t>These are proposed library foundations for approval, not previously approved claims.</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r>
              <w:rPr>
                <w:sz w:val="18"/>
              </w:rPr>
              <w:t>Pillar</w:t>
            </w:r>
          </w:p>
        </w:tc>
        <w:tc>
          <w:tcPr>
            <w:tcW w:type="dxa" w:w="3298"/>
          </w:tcPr>
          <w:p>
            <w:r>
              <w:rPr>
                <w:sz w:val="18"/>
              </w:rPr>
              <w:t>Customer value</w:t>
            </w:r>
          </w:p>
        </w:tc>
        <w:tc>
          <w:tcPr>
            <w:tcW w:type="dxa" w:w="3298"/>
          </w:tcPr>
          <w:p>
            <w:r>
              <w:rPr>
                <w:sz w:val="18"/>
              </w:rPr>
              <w:t>Proof to attach</w:t>
            </w:r>
          </w:p>
        </w:tc>
      </w:tr>
      <w:tr>
        <w:trPr>
          <w:cantSplit/>
        </w:trPr>
        <w:tc>
          <w:tcPr>
            <w:tcW w:type="dxa" w:w="3298"/>
          </w:tcPr>
          <w:p>
            <w:r>
              <w:rPr>
                <w:sz w:val="18"/>
              </w:rPr>
              <w:t>Useful messages at the right moment</w:t>
            </w:r>
          </w:p>
        </w:tc>
        <w:tc>
          <w:tcPr>
            <w:tcW w:type="dxa" w:w="3298"/>
          </w:tcPr>
          <w:p>
            <w:r>
              <w:rPr>
                <w:sz w:val="18"/>
              </w:rPr>
              <w:t>Keep people informed when an appointment, order, account, or service changes.</w:t>
            </w:r>
          </w:p>
        </w:tc>
        <w:tc>
          <w:tcPr>
            <w:tcW w:type="dxa" w:w="3298"/>
          </w:tcPr>
          <w:p>
            <w:r>
              <w:rPr>
                <w:sz w:val="18"/>
              </w:rPr>
              <w:t>A verified workflow or live demonstration.</w:t>
            </w:r>
          </w:p>
        </w:tc>
      </w:tr>
      <w:tr>
        <w:trPr>
          <w:cantSplit/>
        </w:trPr>
        <w:tc>
          <w:tcPr>
            <w:tcW w:type="dxa" w:w="3298"/>
          </w:tcPr>
          <w:p>
            <w:r>
              <w:rPr>
                <w:sz w:val="18"/>
              </w:rPr>
              <w:t>Messaging within existing workflows</w:t>
            </w:r>
          </w:p>
        </w:tc>
        <w:tc>
          <w:tcPr>
            <w:tcW w:type="dxa" w:w="3298"/>
          </w:tcPr>
          <w:p>
            <w:r>
              <w:rPr>
                <w:sz w:val="18"/>
              </w:rPr>
              <w:t>Trigger communication from the systems teams already use.</w:t>
            </w:r>
          </w:p>
        </w:tc>
        <w:tc>
          <w:tcPr>
            <w:tcW w:type="dxa" w:w="3298"/>
          </w:tcPr>
          <w:p>
            <w:r>
              <w:rPr>
                <w:sz w:val="18"/>
              </w:rPr>
              <w:t>Current API documentation or supported integration.</w:t>
            </w:r>
          </w:p>
        </w:tc>
      </w:tr>
      <w:tr>
        <w:trPr>
          <w:cantSplit/>
        </w:trPr>
        <w:tc>
          <w:tcPr>
            <w:tcW w:type="dxa" w:w="3298"/>
          </w:tcPr>
          <w:p>
            <w:r>
              <w:rPr>
                <w:sz w:val="18"/>
              </w:rPr>
              <w:t>Recognisable sender identity</w:t>
            </w:r>
          </w:p>
        </w:tc>
        <w:tc>
          <w:tcPr>
            <w:tcW w:type="dxa" w:w="3298"/>
          </w:tcPr>
          <w:p>
            <w:r>
              <w:rPr>
                <w:sz w:val="18"/>
              </w:rPr>
              <w:t>Help recipients recognise the organisation contacting them.</w:t>
            </w:r>
          </w:p>
        </w:tc>
        <w:tc>
          <w:tcPr>
            <w:tcW w:type="dxa" w:w="3298"/>
          </w:tcPr>
          <w:p>
            <w:r>
              <w:rPr>
                <w:sz w:val="18"/>
              </w:rPr>
              <w:t>Approved PH Sender ID process and applicable carrier conditions.</w:t>
            </w:r>
          </w:p>
        </w:tc>
      </w:tr>
      <w:tr>
        <w:trPr>
          <w:cantSplit/>
        </w:trPr>
        <w:tc>
          <w:tcPr>
            <w:tcW w:type="dxa" w:w="3298"/>
          </w:tcPr>
          <w:p>
            <w:r>
              <w:rPr>
                <w:sz w:val="18"/>
              </w:rPr>
              <w:t>Support for operational scale</w:t>
            </w:r>
          </w:p>
        </w:tc>
        <w:tc>
          <w:tcPr>
            <w:tcW w:type="dxa" w:w="3298"/>
          </w:tcPr>
          <w:p>
            <w:r>
              <w:rPr>
                <w:sz w:val="18"/>
              </w:rPr>
              <w:t>Plan delivery, onboarding, and support around the use case.</w:t>
            </w:r>
          </w:p>
        </w:tc>
        <w:tc>
          <w:tcPr>
            <w:tcW w:type="dxa" w:w="3298"/>
          </w:tcPr>
          <w:p>
            <w:r>
              <w:rPr>
                <w:sz w:val="18"/>
              </w:rPr>
              <w:t>Confirmed routing, throughput, support scope, and reporting limitations.</w:t>
            </w:r>
          </w:p>
        </w:tc>
      </w:tr>
      <w:tr>
        <w:trPr>
          <w:cantSplit/>
        </w:trPr>
        <w:tc>
          <w:tcPr>
            <w:tcW w:type="dxa" w:w="3298"/>
          </w:tcPr>
          <w:p>
            <w:r>
              <w:rPr>
                <w:sz w:val="18"/>
              </w:rPr>
              <w:t>Local people and practical guidance</w:t>
            </w:r>
          </w:p>
        </w:tc>
        <w:tc>
          <w:tcPr>
            <w:tcW w:type="dxa" w:w="3298"/>
          </w:tcPr>
          <w:p>
            <w:r>
              <w:rPr>
                <w:sz w:val="18"/>
              </w:rPr>
              <w:t>Work through the local requirements with the Philippines team.</w:t>
            </w:r>
          </w:p>
        </w:tc>
        <w:tc>
          <w:tcPr>
            <w:tcW w:type="dxa" w:w="3298"/>
          </w:tcPr>
          <w:p>
            <w:r>
              <w:rPr>
                <w:sz w:val="18"/>
              </w:rPr>
              <w:t>Approved team details and service scope.</w:t>
            </w:r>
          </w:p>
        </w:tc>
      </w:tr>
    </w:tbl>
    <w:p>
      <w:pPr>
        <w:pStyle w:val="Heading2"/>
      </w:pPr>
      <w:r>
        <w:t>Primary commercial priorities</w:t>
      </w:r>
    </w:p>
    <w:p>
      <w:r>
        <w:t>The PH Momentum strategy prioritises government, financial services, healthcare, and utilities. Lead enterprise content with operational use cases and buyer concerns around sender identity, delivery visibility, onboarding, and procurement readiness. Use named-account insight for outbound, rather than broad assumptions about an entire sector.</w:t>
      </w:r>
    </w:p>
    <w:p>
      <w:pPr>
        <w:pStyle w:val="Heading2"/>
      </w:pPr>
      <w:r>
        <w:t>Secondary library coverage</w:t>
      </w:r>
    </w:p>
    <w:p>
      <w:r>
        <w:t>Include retail and ecommerce, booking and service businesses, software platforms, agencies, and white-label/reseller partners. These provide useful campaign and expansion messages, but should not displace the regulated-sector priority without a newer PH strategy decision.</w:t>
      </w:r>
    </w:p>
    <w:p>
      <w:pPr>
        <w:pStyle w:val="Heading2"/>
      </w:pPr>
      <w:r>
        <w:t>Brand hierarchy</w:t>
      </w:r>
    </w:p>
    <w:p>
      <w:r>
        <w:t>Use “Burst SMS” in copy and “Burst SMS Philippines” when geography helps. Keep legal entity information in the appropriate contractual or policy context, verified against current records. Do not explain internal logistics or imply that the brand is migrating to Kudosity.</w:t>
      </w:r>
    </w:p>
    <w:p>
      <w:r>
        <w:br w:type="page"/>
      </w:r>
    </w:p>
    <w:p>
      <w:pPr>
        <w:pStyle w:val="Heading1"/>
      </w:pPr>
      <w:r>
        <w:t>2. Industry message map</w:t>
      </w:r>
    </w:p>
    <w:p>
      <w:r>
        <w:t>Build each industry module around a real job to be done. Benefits below are intended outcomes, not measured performance promises.</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r>
              <w:rPr>
                <w:sz w:val="18"/>
              </w:rPr>
              <w:t>Audience</w:t>
            </w:r>
          </w:p>
        </w:tc>
        <w:tc>
          <w:tcPr>
            <w:tcW w:type="dxa" w:w="3298"/>
          </w:tcPr>
          <w:p>
            <w:r>
              <w:rPr>
                <w:sz w:val="18"/>
              </w:rPr>
              <w:t>Problem and message angle</w:t>
            </w:r>
          </w:p>
        </w:tc>
        <w:tc>
          <w:tcPr>
            <w:tcW w:type="dxa" w:w="3298"/>
          </w:tcPr>
          <w:p>
            <w:r>
              <w:rPr>
                <w:sz w:val="18"/>
              </w:rPr>
              <w:t>Use cases and next step</w:t>
            </w:r>
          </w:p>
        </w:tc>
      </w:tr>
      <w:tr>
        <w:trPr>
          <w:cantSplit/>
        </w:trPr>
        <w:tc>
          <w:tcPr>
            <w:tcW w:type="dxa" w:w="3298"/>
          </w:tcPr>
          <w:p>
            <w:r>
              <w:rPr>
                <w:sz w:val="18"/>
              </w:rPr>
              <w:t>Government and public services</w:t>
            </w:r>
          </w:p>
        </w:tc>
        <w:tc>
          <w:tcPr>
            <w:tcW w:type="dxa" w:w="3298"/>
          </w:tcPr>
          <w:p>
            <w:r>
              <w:rPr>
                <w:sz w:val="18"/>
              </w:rPr>
              <w:t>Citizens need clear updates without having to chase the agency. Procurement needs an evidence pack.</w:t>
            </w:r>
          </w:p>
        </w:tc>
        <w:tc>
          <w:tcPr>
            <w:tcW w:type="dxa" w:w="3298"/>
          </w:tcPr>
          <w:p>
            <w:r>
              <w:rPr>
                <w:sz w:val="18"/>
              </w:rPr>
              <w:t>Application updates, appointment reminders, advisories. CTA: Discuss citizen messaging.</w:t>
            </w:r>
          </w:p>
        </w:tc>
      </w:tr>
      <w:tr>
        <w:trPr>
          <w:cantSplit/>
        </w:trPr>
        <w:tc>
          <w:tcPr>
            <w:tcW w:type="dxa" w:w="3298"/>
          </w:tcPr>
          <w:p>
            <w:r>
              <w:rPr>
                <w:sz w:val="18"/>
              </w:rPr>
              <w:t>Banks, wallets, lenders, and insurers</w:t>
            </w:r>
          </w:p>
        </w:tc>
        <w:tc>
          <w:tcPr>
            <w:tcW w:type="dxa" w:w="3298"/>
          </w:tcPr>
          <w:p>
            <w:r>
              <w:rPr>
                <w:sz w:val="18"/>
              </w:rPr>
              <w:t>Important account messages need a recognisable sender and a defined delivery process.</w:t>
            </w:r>
          </w:p>
        </w:tc>
        <w:tc>
          <w:tcPr>
            <w:tcW w:type="dxa" w:w="3298"/>
          </w:tcPr>
          <w:p>
            <w:r>
              <w:rPr>
                <w:sz w:val="18"/>
              </w:rPr>
              <w:t>One-time passwords (OTPs), account alerts, payment reminders. CTA: Review your transactional messaging.</w:t>
            </w:r>
          </w:p>
        </w:tc>
      </w:tr>
      <w:tr>
        <w:trPr>
          <w:cantSplit/>
        </w:trPr>
        <w:tc>
          <w:tcPr>
            <w:tcW w:type="dxa" w:w="3298"/>
          </w:tcPr>
          <w:p>
            <w:r>
              <w:rPr>
                <w:sz w:val="18"/>
              </w:rPr>
              <w:t>Healthcare providers and insurers</w:t>
            </w:r>
          </w:p>
        </w:tc>
        <w:tc>
          <w:tcPr>
            <w:tcW w:type="dxa" w:w="3298"/>
          </w:tcPr>
          <w:p>
            <w:r>
              <w:rPr>
                <w:sz w:val="18"/>
              </w:rPr>
              <w:t>Patients need practical reminders while sensitive details need careful handling.</w:t>
            </w:r>
          </w:p>
        </w:tc>
        <w:tc>
          <w:tcPr>
            <w:tcW w:type="dxa" w:w="3298"/>
          </w:tcPr>
          <w:p>
            <w:r>
              <w:rPr>
                <w:sz w:val="18"/>
              </w:rPr>
              <w:t>Appointment reminders, service updates, administrative notifications. CTA: Discuss patient communication.</w:t>
            </w:r>
          </w:p>
        </w:tc>
      </w:tr>
      <w:tr>
        <w:trPr>
          <w:cantSplit/>
        </w:trPr>
        <w:tc>
          <w:tcPr>
            <w:tcW w:type="dxa" w:w="3298"/>
          </w:tcPr>
          <w:p>
            <w:r>
              <w:rPr>
                <w:sz w:val="18"/>
              </w:rPr>
              <w:t>Utilities and service providers</w:t>
            </w:r>
          </w:p>
        </w:tc>
        <w:tc>
          <w:tcPr>
            <w:tcW w:type="dxa" w:w="3298"/>
          </w:tcPr>
          <w:p>
            <w:r>
              <w:rPr>
                <w:sz w:val="18"/>
              </w:rPr>
              <w:t>Customers need timely information when their service or bill changes.</w:t>
            </w:r>
          </w:p>
        </w:tc>
        <w:tc>
          <w:tcPr>
            <w:tcW w:type="dxa" w:w="3298"/>
          </w:tcPr>
          <w:p>
            <w:r>
              <w:rPr>
                <w:sz w:val="18"/>
              </w:rPr>
              <w:t>Outage notices, restoration updates, billing reminders. CTA: Plan your service notifications.</w:t>
            </w:r>
          </w:p>
        </w:tc>
      </w:tr>
      <w:tr>
        <w:trPr>
          <w:cantSplit/>
        </w:trPr>
        <w:tc>
          <w:tcPr>
            <w:tcW w:type="dxa" w:w="3298"/>
          </w:tcPr>
          <w:p>
            <w:r>
              <w:rPr>
                <w:sz w:val="18"/>
              </w:rPr>
              <w:t>Retail and ecommerce</w:t>
            </w:r>
          </w:p>
        </w:tc>
        <w:tc>
          <w:tcPr>
            <w:tcW w:type="dxa" w:w="3298"/>
          </w:tcPr>
          <w:p>
            <w:r>
              <w:rPr>
                <w:sz w:val="18"/>
              </w:rPr>
              <w:t>Customers need a clear reason to act and useful updates after purchase.</w:t>
            </w:r>
          </w:p>
        </w:tc>
        <w:tc>
          <w:tcPr>
            <w:tcW w:type="dxa" w:w="3298"/>
          </w:tcPr>
          <w:p>
            <w:r>
              <w:rPr>
                <w:sz w:val="18"/>
              </w:rPr>
              <w:t>Opt-in promotions, order and delivery updates, reactivation. CTA: Plan your next SMS campaign.</w:t>
            </w:r>
          </w:p>
        </w:tc>
      </w:tr>
      <w:tr>
        <w:trPr>
          <w:cantSplit/>
        </w:trPr>
        <w:tc>
          <w:tcPr>
            <w:tcW w:type="dxa" w:w="3298"/>
          </w:tcPr>
          <w:p>
            <w:r>
              <w:rPr>
                <w:sz w:val="18"/>
              </w:rPr>
              <w:t>Booking and service businesses</w:t>
            </w:r>
          </w:p>
        </w:tc>
        <w:tc>
          <w:tcPr>
            <w:tcW w:type="dxa" w:w="3298"/>
          </w:tcPr>
          <w:p>
            <w:r>
              <w:rPr>
                <w:sz w:val="18"/>
              </w:rPr>
              <w:t>Staff spend time chasing confirmations and handling schedule changes.</w:t>
            </w:r>
          </w:p>
        </w:tc>
        <w:tc>
          <w:tcPr>
            <w:tcW w:type="dxa" w:w="3298"/>
          </w:tcPr>
          <w:p>
            <w:r>
              <w:rPr>
                <w:sz w:val="18"/>
              </w:rPr>
              <w:t>Reminders and confirmations; replies on a supported number. CTA: Review your reminder workflow.</w:t>
            </w:r>
          </w:p>
        </w:tc>
      </w:tr>
      <w:tr>
        <w:trPr>
          <w:cantSplit/>
        </w:trPr>
        <w:tc>
          <w:tcPr>
            <w:tcW w:type="dxa" w:w="3298"/>
          </w:tcPr>
          <w:p>
            <w:r>
              <w:rPr>
                <w:sz w:val="18"/>
              </w:rPr>
              <w:t>Software and platform teams</w:t>
            </w:r>
          </w:p>
        </w:tc>
        <w:tc>
          <w:tcPr>
            <w:tcW w:type="dxa" w:w="3298"/>
          </w:tcPr>
          <w:p>
            <w:r>
              <w:rPr>
                <w:sz w:val="18"/>
              </w:rPr>
              <w:t>Messaging should fit inside the product and operational workflow.</w:t>
            </w:r>
          </w:p>
        </w:tc>
        <w:tc>
          <w:tcPr>
            <w:tcW w:type="dxa" w:w="3298"/>
          </w:tcPr>
          <w:p>
            <w:r>
              <w:rPr>
                <w:sz w:val="18"/>
              </w:rPr>
              <w:t>API-triggered alerts, account notifications, booking updates. CTA: Discuss your messaging integration.</w:t>
            </w:r>
          </w:p>
        </w:tc>
      </w:tr>
      <w:tr>
        <w:trPr>
          <w:cantSplit/>
        </w:trPr>
        <w:tc>
          <w:tcPr>
            <w:tcW w:type="dxa" w:w="3298"/>
          </w:tcPr>
          <w:p>
            <w:r>
              <w:rPr>
                <w:sz w:val="18"/>
              </w:rPr>
              <w:t>Agencies and resellers</w:t>
            </w:r>
          </w:p>
        </w:tc>
        <w:tc>
          <w:tcPr>
            <w:tcW w:type="dxa" w:w="3298"/>
          </w:tcPr>
          <w:p>
            <w:r>
              <w:rPr>
                <w:sz w:val="18"/>
              </w:rPr>
              <w:t>Offer messaging under your own brand without building the whole platform.</w:t>
            </w:r>
          </w:p>
        </w:tc>
        <w:tc>
          <w:tcPr>
            <w:tcW w:type="dxa" w:w="3298"/>
          </w:tcPr>
          <w:p>
            <w:r>
              <w:rPr>
                <w:sz w:val="18"/>
              </w:rPr>
              <w:t>White-label campaigns and customer account management. CTA: Explore white-label SMS.</w:t>
            </w:r>
          </w:p>
        </w:tc>
      </w:tr>
    </w:tbl>
    <w:p>
      <w:pPr>
        <w:pStyle w:val="Heading2"/>
      </w:pPr>
      <w:r>
        <w:t>Buyer roles</w:t>
      </w:r>
    </w:p>
    <w:p>
      <w:pPr>
        <w:pStyle w:val="ListBullet"/>
      </w:pPr>
      <w:r>
        <w:t>Business owner or commercial lead: lead with the use case, effort required, and expected value.</w:t>
      </w:r>
    </w:p>
    <w:p>
      <w:pPr>
        <w:pStyle w:val="ListBullet"/>
      </w:pPr>
      <w:r>
        <w:t>Operations or service lead: explain triggers, exceptions, handoffs, and how staff will manage messages.</w:t>
      </w:r>
    </w:p>
    <w:p>
      <w:pPr>
        <w:pStyle w:val="ListBullet"/>
      </w:pPr>
      <w:r>
        <w:t>Developer or product lead: specify API actions, webhooks, sender provisioning, and integration dependencies.</w:t>
      </w:r>
    </w:p>
    <w:p>
      <w:pPr>
        <w:pStyle w:val="ListBullet"/>
      </w:pPr>
      <w:r>
        <w:t>Compliance, IT, or procurement: provide evidence on entity, security scope, data processing, sender approvals, and support terms.</w:t>
      </w:r>
    </w:p>
    <w:p>
      <w:pPr>
        <w:pStyle w:val="Heading2"/>
      </w:pPr>
      <w:r>
        <w:t>Required module format</w:t>
      </w:r>
    </w:p>
    <w:p>
      <w:r>
        <w:t>For each audience provide: a one-line proposition, a 50-word explanation, three message angles, five headlines, three use cases, a discovery opener, three objections with answers, one initial email plus two follow-ups, one LinkedIn outreach message, and a specific CTA linking to the PH website.</w:t>
      </w:r>
    </w:p>
    <w:p>
      <w:r>
        <w:br w:type="page"/>
      </w:r>
    </w:p>
    <w:p>
      <w:pPr>
        <w:pStyle w:val="Heading1"/>
      </w:pPr>
      <w:r>
        <w:t>3. Product and capability coverage</w:t>
      </w:r>
    </w:p>
    <w:p>
      <w:r>
        <w:t>Inventory the full shared platform first. Record the customer-facing Burst SMS name, current release status, PH delivery availability, relevant dependencies, and evidence for every capability. Do not reduce the offering to the older Burst SMS feature set.</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r>
              <w:rPr>
                <w:sz w:val="18"/>
              </w:rPr>
              <w:t>Capability family</w:t>
            </w:r>
          </w:p>
        </w:tc>
        <w:tc>
          <w:tcPr>
            <w:tcW w:type="dxa" w:w="3298"/>
          </w:tcPr>
          <w:p>
            <w:r>
              <w:rPr>
                <w:sz w:val="18"/>
              </w:rPr>
              <w:t>Messaging direction</w:t>
            </w:r>
          </w:p>
        </w:tc>
        <w:tc>
          <w:tcPr>
            <w:tcW w:type="dxa" w:w="3298"/>
          </w:tcPr>
          <w:p>
            <w:r>
              <w:rPr>
                <w:sz w:val="18"/>
              </w:rPr>
              <w:t>Local qualification required</w:t>
            </w:r>
          </w:p>
        </w:tc>
      </w:tr>
      <w:tr>
        <w:trPr>
          <w:cantSplit/>
        </w:trPr>
        <w:tc>
          <w:tcPr>
            <w:tcW w:type="dxa" w:w="3298"/>
          </w:tcPr>
          <w:p>
            <w:r>
              <w:rPr>
                <w:sz w:val="18"/>
              </w:rPr>
              <w:t>SMS campaigns and bulk sending</w:t>
            </w:r>
          </w:p>
        </w:tc>
        <w:tc>
          <w:tcPr>
            <w:tcW w:type="dxa" w:w="3298"/>
          </w:tcPr>
          <w:p>
            <w:r>
              <w:rPr>
                <w:sz w:val="18"/>
              </w:rPr>
              <w:t>Reach an opted-in audience with a clear message and action.</w:t>
            </w:r>
          </w:p>
        </w:tc>
        <w:tc>
          <w:tcPr>
            <w:tcW w:type="dxa" w:w="3298"/>
          </w:tcPr>
          <w:p>
            <w:r>
              <w:rPr>
                <w:sz w:val="18"/>
              </w:rPr>
              <w:t>Sending windows, consent, opt-out method, encoding, and segment costs.</w:t>
            </w:r>
          </w:p>
        </w:tc>
      </w:tr>
      <w:tr>
        <w:trPr>
          <w:cantSplit/>
        </w:trPr>
        <w:tc>
          <w:tcPr>
            <w:tcW w:type="dxa" w:w="3298"/>
          </w:tcPr>
          <w:p>
            <w:r>
              <w:rPr>
                <w:sz w:val="18"/>
              </w:rPr>
              <w:t>Scheduling, personalisation, contacts, and segmentation</w:t>
            </w:r>
          </w:p>
        </w:tc>
        <w:tc>
          <w:tcPr>
            <w:tcW w:type="dxa" w:w="3298"/>
          </w:tcPr>
          <w:p>
            <w:r>
              <w:rPr>
                <w:sz w:val="18"/>
              </w:rPr>
              <w:t>Send relevant communication using approved customer data.</w:t>
            </w:r>
          </w:p>
        </w:tc>
        <w:tc>
          <w:tcPr>
            <w:tcW w:type="dxa" w:w="3298"/>
          </w:tcPr>
          <w:p>
            <w:r>
              <w:rPr>
                <w:sz w:val="18"/>
              </w:rPr>
              <w:t>Demonstrate current fields, filtering, tagging, and limits; do not promise unverified tag features.</w:t>
            </w:r>
          </w:p>
        </w:tc>
      </w:tr>
      <w:tr>
        <w:trPr>
          <w:cantSplit/>
        </w:trPr>
        <w:tc>
          <w:tcPr>
            <w:tcW w:type="dxa" w:w="3298"/>
          </w:tcPr>
          <w:p>
            <w:r>
              <w:rPr>
                <w:sz w:val="18"/>
              </w:rPr>
              <w:t>Journeys, keyword workflows, and automation</w:t>
            </w:r>
          </w:p>
        </w:tc>
        <w:tc>
          <w:tcPr>
            <w:tcW w:type="dxa" w:w="3298"/>
          </w:tcPr>
          <w:p>
            <w:r>
              <w:rPr>
                <w:sz w:val="18"/>
              </w:rPr>
              <w:t>Connect messages to customer actions and operational events.</w:t>
            </w:r>
          </w:p>
        </w:tc>
        <w:tc>
          <w:tcPr>
            <w:tcW w:type="dxa" w:w="3298"/>
          </w:tcPr>
          <w:p>
            <w:r>
              <w:rPr>
                <w:sz w:val="18"/>
              </w:rPr>
              <w:t>Confirm native functionality, configuration, reply path, and integration work.</w:t>
            </w:r>
          </w:p>
        </w:tc>
      </w:tr>
      <w:tr>
        <w:trPr>
          <w:cantSplit/>
        </w:trPr>
        <w:tc>
          <w:tcPr>
            <w:tcW w:type="dxa" w:w="3298"/>
          </w:tcPr>
          <w:p>
            <w:r>
              <w:rPr>
                <w:sz w:val="18"/>
              </w:rPr>
              <w:t>APIs, SDKs, webhooks, and email-to-SMS</w:t>
            </w:r>
          </w:p>
        </w:tc>
        <w:tc>
          <w:tcPr>
            <w:tcW w:type="dxa" w:w="3298"/>
          </w:tcPr>
          <w:p>
            <w:r>
              <w:rPr>
                <w:sz w:val="18"/>
              </w:rPr>
              <w:t>Build messaging into applications and existing processes.</w:t>
            </w:r>
          </w:p>
        </w:tc>
        <w:tc>
          <w:tcPr>
            <w:tcW w:type="dxa" w:w="3298"/>
          </w:tcPr>
          <w:p>
            <w:r>
              <w:rPr>
                <w:sz w:val="18"/>
              </w:rPr>
              <w:t>Verify current endpoints, events, documentation, and PH access.</w:t>
            </w:r>
          </w:p>
        </w:tc>
      </w:tr>
      <w:tr>
        <w:trPr>
          <w:cantSplit/>
        </w:trPr>
        <w:tc>
          <w:tcPr>
            <w:tcW w:type="dxa" w:w="3298"/>
          </w:tcPr>
          <w:p>
            <w:r>
              <w:rPr>
                <w:sz w:val="18"/>
              </w:rPr>
              <w:t>Branded Sender IDs</w:t>
            </w:r>
          </w:p>
        </w:tc>
        <w:tc>
          <w:tcPr>
            <w:tcW w:type="dxa" w:w="3298"/>
          </w:tcPr>
          <w:p>
            <w:r>
              <w:rPr>
                <w:sz w:val="18"/>
              </w:rPr>
              <w:t>Make your organisation recognisable in the sender field.</w:t>
            </w:r>
          </w:p>
        </w:tc>
        <w:tc>
          <w:tcPr>
            <w:tcW w:type="dxa" w:w="3298"/>
          </w:tcPr>
          <w:p>
            <w:r>
              <w:rPr>
                <w:sz w:val="18"/>
              </w:rPr>
              <w:t>Carrier approval, 11-character limit, documentation, local/international classification, and variable lead time.</w:t>
            </w:r>
          </w:p>
        </w:tc>
      </w:tr>
      <w:tr>
        <w:trPr>
          <w:cantSplit/>
        </w:trPr>
        <w:tc>
          <w:tcPr>
            <w:tcW w:type="dxa" w:w="3298"/>
          </w:tcPr>
          <w:p>
            <w:r>
              <w:rPr>
                <w:sz w:val="18"/>
              </w:rPr>
              <w:t>Virtual numbers, two-way SMS, and Inbox</w:t>
            </w:r>
          </w:p>
        </w:tc>
        <w:tc>
          <w:tcPr>
            <w:tcW w:type="dxa" w:w="3298"/>
          </w:tcPr>
          <w:p>
            <w:r>
              <w:rPr>
                <w:sz w:val="18"/>
              </w:rPr>
              <w:t>Receive and manage replies where the number supports them.</w:t>
            </w:r>
          </w:p>
        </w:tc>
        <w:tc>
          <w:tcPr>
            <w:tcW w:type="dxa" w:w="3298"/>
          </w:tcPr>
          <w:p>
            <w:r>
              <w:rPr>
                <w:sz w:val="18"/>
              </w:rPr>
              <w:t>PH number availability, provisioning, fees, Inbox entitlement, and routing. Alpha Sender IDs are not a reply number.</w:t>
            </w:r>
          </w:p>
        </w:tc>
      </w:tr>
      <w:tr>
        <w:trPr>
          <w:cantSplit/>
        </w:trPr>
        <w:tc>
          <w:tcPr>
            <w:tcW w:type="dxa" w:w="3298"/>
          </w:tcPr>
          <w:p>
            <w:r>
              <w:rPr>
                <w:sz w:val="18"/>
              </w:rPr>
              <w:t>Reporting and trackable links</w:t>
            </w:r>
          </w:p>
        </w:tc>
        <w:tc>
          <w:tcPr>
            <w:tcW w:type="dxa" w:w="3298"/>
          </w:tcPr>
          <w:p>
            <w:r>
              <w:rPr>
                <w:sz w:val="18"/>
              </w:rPr>
              <w:t>Understand message status and response activity where supported.</w:t>
            </w:r>
          </w:p>
        </w:tc>
        <w:tc>
          <w:tcPr>
            <w:tcW w:type="dxa" w:w="3298"/>
          </w:tcPr>
          <w:p>
            <w:r>
              <w:rPr>
                <w:sz w:val="18"/>
              </w:rPr>
              <w:t>PH guide limits delivery receipts to aggregator reports. Confirm link handling and full-domain requirements.</w:t>
            </w:r>
          </w:p>
        </w:tc>
      </w:tr>
      <w:tr>
        <w:trPr>
          <w:cantSplit/>
        </w:trPr>
        <w:tc>
          <w:tcPr>
            <w:tcW w:type="dxa" w:w="3298"/>
          </w:tcPr>
          <w:p>
            <w:r>
              <w:rPr>
                <w:sz w:val="18"/>
              </w:rPr>
              <w:t>White label, reseller, and multi-account management</w:t>
            </w:r>
          </w:p>
        </w:tc>
        <w:tc>
          <w:tcPr>
            <w:tcW w:type="dxa" w:w="3298"/>
          </w:tcPr>
          <w:p>
            <w:r>
              <w:rPr>
                <w:sz w:val="18"/>
              </w:rPr>
              <w:t>Offer SMS services under your own brand.</w:t>
            </w:r>
          </w:p>
        </w:tc>
        <w:tc>
          <w:tcPr>
            <w:tcW w:type="dxa" w:w="3298"/>
          </w:tcPr>
          <w:p>
            <w:r>
              <w:rPr>
                <w:sz w:val="18"/>
              </w:rPr>
              <w:t>Branding controls, account permissions, billing model, contracts, and support responsibilities.</w:t>
            </w:r>
          </w:p>
        </w:tc>
      </w:tr>
      <w:tr>
        <w:trPr>
          <w:cantSplit/>
        </w:trPr>
        <w:tc>
          <w:tcPr>
            <w:tcW w:type="dxa" w:w="3298"/>
          </w:tcPr>
          <w:p>
            <w:r>
              <w:rPr>
                <w:sz w:val="18"/>
              </w:rPr>
              <w:t>WhatsApp Business API and RCS</w:t>
            </w:r>
          </w:p>
        </w:tc>
        <w:tc>
          <w:tcPr>
            <w:tcW w:type="dxa" w:w="3298"/>
          </w:tcPr>
          <w:p>
            <w:r>
              <w:rPr>
                <w:sz w:val="18"/>
              </w:rPr>
              <w:t>Use richer messaging for a suitable use case and supported market.</w:t>
            </w:r>
          </w:p>
        </w:tc>
        <w:tc>
          <w:tcPr>
            <w:tcW w:type="dxa" w:w="3298"/>
          </w:tcPr>
          <w:p>
            <w:r>
              <w:rPr>
                <w:sz w:val="18"/>
              </w:rPr>
              <w:t>Confirm PH route, onboarding, sender verification, device/carrier reach, templates, pricing, and fallback.</w:t>
            </w:r>
          </w:p>
        </w:tc>
      </w:tr>
      <w:tr>
        <w:trPr>
          <w:cantSplit/>
        </w:trPr>
        <w:tc>
          <w:tcPr>
            <w:tcW w:type="dxa" w:w="3298"/>
          </w:tcPr>
          <w:p>
            <w:r>
              <w:rPr>
                <w:sz w:val="18"/>
              </w:rPr>
              <w:t>MMS, short codes, HLR and number lookup</w:t>
            </w:r>
          </w:p>
        </w:tc>
        <w:tc>
          <w:tcPr>
            <w:tcW w:type="dxa" w:w="3298"/>
          </w:tcPr>
          <w:p>
            <w:r>
              <w:rPr>
                <w:sz w:val="18"/>
              </w:rPr>
              <w:t>Maintain a full platform catalogue with market applicability.</w:t>
            </w:r>
          </w:p>
        </w:tc>
        <w:tc>
          <w:tcPr>
            <w:tcW w:type="dxa" w:w="3298"/>
          </w:tcPr>
          <w:p>
            <w:r>
              <w:rPr>
                <w:sz w:val="18"/>
              </w:rPr>
              <w:t>PH guide states MMS is not supported. Verify each other service for the destination; do not transfer AU/NZ availability.</w:t>
            </w:r>
          </w:p>
        </w:tc>
      </w:tr>
      <w:tr>
        <w:trPr>
          <w:cantSplit/>
        </w:trPr>
        <w:tc>
          <w:tcPr>
            <w:tcW w:type="dxa" w:w="3298"/>
          </w:tcPr>
          <w:p>
            <w:r>
              <w:rPr>
                <w:sz w:val="18"/>
              </w:rPr>
              <w:t>Integrations, AI workflows, and managed services</w:t>
            </w:r>
          </w:p>
        </w:tc>
        <w:tc>
          <w:tcPr>
            <w:tcW w:type="dxa" w:w="3298"/>
          </w:tcPr>
          <w:p>
            <w:r>
              <w:rPr>
                <w:sz w:val="18"/>
              </w:rPr>
              <w:t>Connect messaging to business tools and governed automation.</w:t>
            </w:r>
          </w:p>
        </w:tc>
        <w:tc>
          <w:tcPr>
            <w:tcW w:type="dxa" w:w="3298"/>
          </w:tcPr>
          <w:p>
            <w:r>
              <w:rPr>
                <w:sz w:val="18"/>
              </w:rPr>
              <w:t>Confirm live connector, account access, actual scope, and human oversight. Separate roadmap items.</w:t>
            </w:r>
          </w:p>
        </w:tc>
      </w:tr>
      <w:tr>
        <w:trPr>
          <w:cantSplit/>
        </w:trPr>
        <w:tc>
          <w:tcPr>
            <w:tcW w:type="dxa" w:w="3298"/>
          </w:tcPr>
          <w:p>
            <w:r>
              <w:rPr>
                <w:sz w:val="18"/>
              </w:rPr>
              <w:t>Voice and SIP opportunities</w:t>
            </w:r>
          </w:p>
        </w:tc>
        <w:tc>
          <w:tcPr>
            <w:tcW w:type="dxa" w:w="3298"/>
          </w:tcPr>
          <w:p>
            <w:r>
              <w:rPr>
                <w:sz w:val="18"/>
              </w:rPr>
              <w:t>Maintain a separate opportunity module if commercially confirmed.</w:t>
            </w:r>
          </w:p>
        </w:tc>
        <w:tc>
          <w:tcPr>
            <w:tcW w:type="dxa" w:w="3298"/>
          </w:tcPr>
          <w:p>
            <w:r>
              <w:rPr>
                <w:sz w:val="18"/>
              </w:rPr>
              <w:t>Latest Vonage page describes an assessed partner model. Do not advertise native PH voice as generally available.</w:t>
            </w:r>
          </w:p>
        </w:tc>
      </w:tr>
    </w:tbl>
    <w:p>
      <w:r>
        <w:br w:type="page"/>
      </w:r>
    </w:p>
    <w:p>
      <w:pPr>
        <w:pStyle w:val="Heading1"/>
      </w:pPr>
      <w:r>
        <w:t>4. Localisation, claims, and proof</w:t>
      </w:r>
    </w:p>
    <w:p>
      <w:pPr>
        <w:pStyle w:val="Heading2"/>
      </w:pPr>
      <w:r>
        <w:t>Localisation rules</w:t>
      </w:r>
    </w:p>
    <w:p>
      <w:pPr>
        <w:pStyle w:val="ListBullet"/>
      </w:pPr>
      <w:r>
        <w:t>Write clear English by default, with Australian/British spelling. Use Filipino or a regional language only for a defined audience with a local reviewer.</w:t>
      </w:r>
    </w:p>
    <w:p>
      <w:pPr>
        <w:pStyle w:val="ListBullet"/>
      </w:pPr>
      <w:r>
        <w:t>Use PHP or ₱ for approved Philippine pricing and Asia/Manila (UTC+8) for local schedules. Never copy AUD rates or Australian surcharge announcements.</w:t>
      </w:r>
    </w:p>
    <w:p>
      <w:pPr>
        <w:pStyle w:val="ListBullet"/>
      </w:pPr>
      <w:r>
        <w:t>Use relevant local scenarios such as clinic appointments, utility updates, public-service applications, and retail sale events. Avoid stereotypes and forced slang.</w:t>
      </w:r>
    </w:p>
    <w:p>
      <w:pPr>
        <w:pStyle w:val="ListBullet"/>
      </w:pPr>
      <w:r>
        <w:t>Use fictional or anonymised sample messages. Do not include real patient, financial, or customer information.</w:t>
      </w:r>
    </w:p>
    <w:p>
      <w:pPr>
        <w:pStyle w:val="ListBullet"/>
      </w:pPr>
      <w:r>
        <w:t>Treat URLs, opt-outs, Sender IDs, encoding, and message length as delivery requirements. Prefer plain ASCII SMS examples until the route is confirmed.</w:t>
      </w:r>
    </w:p>
    <w:p>
      <w:pPr>
        <w:pStyle w:val="Heading2"/>
      </w:pPr>
      <w:r>
        <w:t>Evidence and approval register</w:t>
      </w:r>
    </w:p>
    <w:p>
      <w:r>
        <w:t>Each record must include: asset/claim ID, exact wording, source title and link, source version or modification date, date checked, market/route/account scope, owner, approval status, approver/date, review date, and superseded wording.</w:t>
      </w:r>
    </w:p>
    <w:p>
      <w:r>
        <w:t>Use four statuses: Proposed copy; Verified capability; Approved for publication; Hold. A verified platform feature is not automatically approved marketing copy. Preserve genuine prior approvals and identify their exact asset and wording.</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r>
              <w:rPr>
                <w:sz w:val="18"/>
              </w:rPr>
              <w:t>Claim area</w:t>
            </w:r>
          </w:p>
        </w:tc>
        <w:tc>
          <w:tcPr>
            <w:tcW w:type="dxa" w:w="4946"/>
          </w:tcPr>
          <w:p>
            <w:r>
              <w:rPr>
                <w:sz w:val="18"/>
              </w:rPr>
              <w:t>Rule</w:t>
            </w:r>
          </w:p>
        </w:tc>
      </w:tr>
      <w:tr>
        <w:trPr>
          <w:cantSplit/>
        </w:trPr>
        <w:tc>
          <w:tcPr>
            <w:tcW w:type="dxa" w:w="4946"/>
          </w:tcPr>
          <w:p>
            <w:r>
              <w:rPr>
                <w:sz w:val="18"/>
              </w:rPr>
              <w:t>Delivery and performance</w:t>
            </w:r>
          </w:p>
        </w:tc>
        <w:tc>
          <w:tcPr>
            <w:tcW w:type="dxa" w:w="4946"/>
          </w:tcPr>
          <w:p>
            <w:r>
              <w:rPr>
                <w:sz w:val="18"/>
              </w:rPr>
              <w:t>No unsupported “fastest”, guaranteed delivery, read rates, uptime, throughput, or ROI. Attach current scoped evidence.</w:t>
            </w:r>
          </w:p>
        </w:tc>
      </w:tr>
      <w:tr>
        <w:trPr>
          <w:cantSplit/>
        </w:trPr>
        <w:tc>
          <w:tcPr>
            <w:tcW w:type="dxa" w:w="4946"/>
          </w:tcPr>
          <w:p>
            <w:r>
              <w:rPr>
                <w:sz w:val="18"/>
              </w:rPr>
              <w:t>Compliance and identity</w:t>
            </w:r>
          </w:p>
        </w:tc>
        <w:tc>
          <w:tcPr>
            <w:tcW w:type="dxa" w:w="4946"/>
          </w:tcPr>
          <w:p>
            <w:r>
              <w:rPr>
                <w:sz w:val="18"/>
              </w:rPr>
              <w:t>Explain support for the process. Do not claim all messages are compliant, registration prevents fraud, or approval is immediate.</w:t>
            </w:r>
          </w:p>
        </w:tc>
      </w:tr>
      <w:tr>
        <w:trPr>
          <w:cantSplit/>
        </w:trPr>
        <w:tc>
          <w:tcPr>
            <w:tcW w:type="dxa" w:w="4946"/>
          </w:tcPr>
          <w:p>
            <w:r>
              <w:rPr>
                <w:sz w:val="18"/>
              </w:rPr>
              <w:t>Certifications and residency</w:t>
            </w:r>
          </w:p>
        </w:tc>
        <w:tc>
          <w:tcPr>
            <w:tcW w:type="dxa" w:w="4946"/>
          </w:tcPr>
          <w:p>
            <w:r>
              <w:rPr>
                <w:sz w:val="18"/>
              </w:rPr>
              <w:t>Confirm certificate entity, validity, scope, and relevant data flows. Do not infer PH data residency from ANZ infrastructure.</w:t>
            </w:r>
          </w:p>
        </w:tc>
      </w:tr>
      <w:tr>
        <w:trPr>
          <w:cantSplit/>
        </w:trPr>
        <w:tc>
          <w:tcPr>
            <w:tcW w:type="dxa" w:w="4946"/>
          </w:tcPr>
          <w:p>
            <w:r>
              <w:rPr>
                <w:sz w:val="18"/>
              </w:rPr>
              <w:t>Government credentials</w:t>
            </w:r>
          </w:p>
        </w:tc>
        <w:tc>
          <w:tcPr>
            <w:tcW w:type="dxa" w:w="4946"/>
          </w:tcPr>
          <w:p>
            <w:r>
              <w:rPr>
                <w:sz w:val="18"/>
              </w:rPr>
              <w:t>Verify current VAS, entity registration, permits, and PhilGEPS status. Red registration must not become a Platinum claim.</w:t>
            </w:r>
          </w:p>
        </w:tc>
      </w:tr>
      <w:tr>
        <w:trPr>
          <w:cantSplit/>
        </w:trPr>
        <w:tc>
          <w:tcPr>
            <w:tcW w:type="dxa" w:w="4946"/>
          </w:tcPr>
          <w:p>
            <w:r>
              <w:rPr>
                <w:sz w:val="18"/>
              </w:rPr>
              <w:t>Customer and partner proof</w:t>
            </w:r>
          </w:p>
        </w:tc>
        <w:tc>
          <w:tcPr>
            <w:tcW w:type="dxa" w:w="4946"/>
          </w:tcPr>
          <w:p>
            <w:r>
              <w:rPr>
                <w:sz w:val="18"/>
              </w:rPr>
              <w:t>Obtain exact approved wording and usage rights. A prospect, pilot, target, or forecast is not a reference customer or result.</w:t>
            </w:r>
          </w:p>
        </w:tc>
      </w:tr>
      <w:tr>
        <w:trPr>
          <w:cantSplit/>
        </w:trPr>
        <w:tc>
          <w:tcPr>
            <w:tcW w:type="dxa" w:w="4946"/>
          </w:tcPr>
          <w:p>
            <w:r>
              <w:rPr>
                <w:sz w:val="18"/>
              </w:rPr>
              <w:t>Competitor comparisons</w:t>
            </w:r>
          </w:p>
        </w:tc>
        <w:tc>
          <w:tcPr>
            <w:tcW w:type="dxa" w:w="4946"/>
          </w:tcPr>
          <w:p>
            <w:r>
              <w:rPr>
                <w:sz w:val="18"/>
              </w:rPr>
              <w:t>Verify current primary evidence. Do not reuse the platform comparison deck as an audited ranking.</w:t>
            </w:r>
          </w:p>
        </w:tc>
      </w:tr>
    </w:tbl>
    <w:p>
      <w:pPr>
        <w:pStyle w:val="Heading2"/>
      </w:pPr>
      <w:r>
        <w:t>Known source issues to resolve</w:t>
      </w:r>
    </w:p>
    <w:p>
      <w:r>
        <w:t>The PH guide has conflicting SMS length/encoding notes. The registrations page records address and permit work in progress. The PH Momentum deck mixes planned and completed procurement tasks. The 2025 PLDT draft includes a future volume ramp, not an achieved result. Keep these statements on Hold until the appropriate owner resolves them.</w:t>
      </w:r>
    </w:p>
    <w:p>
      <w:r>
        <w:br w:type="page"/>
      </w:r>
    </w:p>
    <w:p>
      <w:pPr>
        <w:pStyle w:val="Heading1"/>
      </w:pPr>
      <w:r>
        <w:t>5. Required library deliverables</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r>
              <w:rPr>
                <w:sz w:val="18"/>
              </w:rPr>
              <w:t>Module</w:t>
            </w:r>
          </w:p>
        </w:tc>
        <w:tc>
          <w:tcPr>
            <w:tcW w:type="dxa" w:w="4946"/>
          </w:tcPr>
          <w:p>
            <w:r>
              <w:rPr>
                <w:sz w:val="18"/>
              </w:rPr>
              <w:t>Required contents</w:t>
            </w:r>
          </w:p>
        </w:tc>
      </w:tr>
      <w:tr>
        <w:trPr>
          <w:cantSplit/>
        </w:trPr>
        <w:tc>
          <w:tcPr>
            <w:tcW w:type="dxa" w:w="4946"/>
          </w:tcPr>
          <w:p>
            <w:r>
              <w:rPr>
                <w:sz w:val="18"/>
              </w:rPr>
              <w:t>Brand and core positioning</w:t>
            </w:r>
          </w:p>
        </w:tc>
        <w:tc>
          <w:tcPr>
            <w:tcW w:type="dxa" w:w="4946"/>
          </w:tcPr>
          <w:p>
            <w:r>
              <w:rPr>
                <w:sz w:val="18"/>
              </w:rPr>
              <w:t>Brand rules; message hierarchy; 10-, 25-, 50-, and 100-word descriptions; five pillars; value proposition; approved terms and exclusions.</w:t>
            </w:r>
          </w:p>
        </w:tc>
      </w:tr>
      <w:tr>
        <w:trPr>
          <w:cantSplit/>
        </w:trPr>
        <w:tc>
          <w:tcPr>
            <w:tcW w:type="dxa" w:w="4946"/>
          </w:tcPr>
          <w:p>
            <w:r>
              <w:rPr>
                <w:sz w:val="18"/>
              </w:rPr>
              <w:t>Industry and buyer messages</w:t>
            </w:r>
          </w:p>
        </w:tc>
        <w:tc>
          <w:tcPr>
            <w:tcW w:type="dxa" w:w="4946"/>
          </w:tcPr>
          <w:p>
            <w:r>
              <w:rPr>
                <w:sz w:val="18"/>
              </w:rPr>
              <w:t>Eight industry modules using the format on page 3; persona variations for commercial, operations, technical, and procurement buyers.</w:t>
            </w:r>
          </w:p>
        </w:tc>
      </w:tr>
      <w:tr>
        <w:trPr>
          <w:cantSplit/>
        </w:trPr>
        <w:tc>
          <w:tcPr>
            <w:tcW w:type="dxa" w:w="4946"/>
          </w:tcPr>
          <w:p>
            <w:r>
              <w:rPr>
                <w:sz w:val="18"/>
              </w:rPr>
              <w:t>Product message cards</w:t>
            </w:r>
          </w:p>
        </w:tc>
        <w:tc>
          <w:tcPr>
            <w:tcW w:type="dxa" w:w="4946"/>
          </w:tcPr>
          <w:p>
            <w:r>
              <w:rPr>
                <w:sz w:val="18"/>
              </w:rPr>
              <w:t>One card per capability: problem, benefit, mechanism, usable copy, example, limits, proof, and approval status.</w:t>
            </w:r>
          </w:p>
        </w:tc>
      </w:tr>
      <w:tr>
        <w:trPr>
          <w:cantSplit/>
        </w:trPr>
        <w:tc>
          <w:tcPr>
            <w:tcW w:type="dxa" w:w="4946"/>
          </w:tcPr>
          <w:p>
            <w:r>
              <w:rPr>
                <w:sz w:val="18"/>
              </w:rPr>
              <w:t>Sales enablement</w:t>
            </w:r>
          </w:p>
        </w:tc>
        <w:tc>
          <w:tcPr>
            <w:tcW w:type="dxa" w:w="4946"/>
          </w:tcPr>
          <w:p>
            <w:r>
              <w:rPr>
                <w:sz w:val="18"/>
              </w:rPr>
              <w:t>30-second pitch; discovery questions; objection bank; initial outreach and follow-ups; demo invitation; proposal opening; reactivation and expansion copy.</w:t>
            </w:r>
          </w:p>
        </w:tc>
      </w:tr>
      <w:tr>
        <w:trPr>
          <w:cantSplit/>
        </w:trPr>
        <w:tc>
          <w:tcPr>
            <w:tcW w:type="dxa" w:w="4946"/>
          </w:tcPr>
          <w:p>
            <w:r>
              <w:rPr>
                <w:sz w:val="18"/>
              </w:rPr>
              <w:t>Website and campaign copy</w:t>
            </w:r>
          </w:p>
        </w:tc>
        <w:tc>
          <w:tcPr>
            <w:tcW w:type="dxa" w:w="4946"/>
          </w:tcPr>
          <w:p>
            <w:r>
              <w:rPr>
                <w:sz w:val="18"/>
              </w:rPr>
              <w:t>Homepage message hierarchy; industry-page structures; campaign landing-page template; headline bank; email subject lines; CTA bank.</w:t>
            </w:r>
          </w:p>
        </w:tc>
      </w:tr>
      <w:tr>
        <w:trPr>
          <w:cantSplit/>
        </w:trPr>
        <w:tc>
          <w:tcPr>
            <w:tcW w:type="dxa" w:w="4946"/>
          </w:tcPr>
          <w:p>
            <w:r>
              <w:rPr>
                <w:sz w:val="18"/>
              </w:rPr>
              <w:t>Social and creative</w:t>
            </w:r>
          </w:p>
        </w:tc>
        <w:tc>
          <w:tcPr>
            <w:tcW w:type="dxa" w:w="4946"/>
          </w:tcPr>
          <w:p>
            <w:r>
              <w:rPr>
                <w:sz w:val="18"/>
              </w:rPr>
              <w:t>12 Facebook and six LinkedIn posts across core use cases, Sender ID, white label, integrations, trust, and local team content. Each includes a finished supporting image unless copy-only is requested.</w:t>
            </w:r>
          </w:p>
        </w:tc>
      </w:tr>
      <w:tr>
        <w:trPr>
          <w:cantSplit/>
        </w:trPr>
        <w:tc>
          <w:tcPr>
            <w:tcW w:type="dxa" w:w="4946"/>
          </w:tcPr>
          <w:p>
            <w:r>
              <w:rPr>
                <w:sz w:val="18"/>
              </w:rPr>
              <w:t>SMS examples</w:t>
            </w:r>
          </w:p>
        </w:tc>
        <w:tc>
          <w:tcPr>
            <w:tcW w:type="dxa" w:w="4946"/>
          </w:tcPr>
          <w:p>
            <w:r>
              <w:rPr>
                <w:sz w:val="18"/>
              </w:rPr>
              <w:t>At least two examples per priority use case, with sender type, character/segment check, required opt-out where applicable, and verified link treatment.</w:t>
            </w:r>
          </w:p>
        </w:tc>
      </w:tr>
      <w:tr>
        <w:trPr>
          <w:cantSplit/>
        </w:trPr>
        <w:tc>
          <w:tcPr>
            <w:tcW w:type="dxa" w:w="4946"/>
          </w:tcPr>
          <w:p>
            <w:r>
              <w:rPr>
                <w:sz w:val="18"/>
              </w:rPr>
              <w:t>Proof and governance</w:t>
            </w:r>
          </w:p>
        </w:tc>
        <w:tc>
          <w:tcPr>
            <w:tcW w:type="dxa" w:w="4946"/>
          </w:tcPr>
          <w:p>
            <w:r>
              <w:rPr>
                <w:sz w:val="18"/>
              </w:rPr>
              <w:t>Claims register; proof bank; source index; approved/rejected creative register; changelog; owner and review schedule.</w:t>
            </w:r>
          </w:p>
        </w:tc>
      </w:tr>
    </w:tbl>
    <w:p>
      <w:pPr>
        <w:pStyle w:val="Heading2"/>
      </w:pPr>
      <w:r>
        <w:t>Carry forward recent creative decisions</w:t>
      </w:r>
    </w:p>
    <w:p>
      <w:pPr>
        <w:pStyle w:val="ListBullet"/>
      </w:pPr>
      <w:r>
        <w:t>Every finished branded image includes the actual Burst SMS Philippines horizontal lockup. Composite the supplied logo unchanged; never ask an image model to redraw it.</w:t>
      </w:r>
    </w:p>
    <w:p>
      <w:pPr>
        <w:pStyle w:val="ListBullet"/>
      </w:pPr>
      <w:r>
        <w:t>Use navy #002A66, violet #4C23CC, and white as the dominant system, with Burst cyan #00AEC4 as an accent. Use Noto Sans digitally. Keep headlines short and compositions uncluttered.</w:t>
      </w:r>
    </w:p>
    <w:p>
      <w:pPr>
        <w:pStyle w:val="ListBullet"/>
      </w:pPr>
      <w:r>
        <w:t>Retain the Sender ID and white-label campaign themes. Use “Your brand. Your SMS business.” as proposed white-label copy, subject to the confirmed reseller scope.</w:t>
      </w:r>
    </w:p>
    <w:p>
      <w:pPr>
        <w:pStyle w:val="ListBullet"/>
      </w:pPr>
      <w:r>
        <w:t>Feature Grace Briones using her confirmed title. The free-coffee/meet-the-team idea can be developed as a local invitation once venue, fulfilment, and offer details are confirmed.</w:t>
      </w:r>
    </w:p>
    <w:p>
      <w:pPr>
        <w:pStyle w:val="ListBullet"/>
      </w:pPr>
      <w:r>
        <w:t>The history records approval of Grace’s quote, but does not contain its exact wording. Retrieve the approved original; do not invent or paraphrase a new quote as hers. Remove the obsolete “quote not approved” watermark from that approved asset.</w:t>
      </w:r>
    </w:p>
    <w:p>
      <w:pPr>
        <w:pStyle w:val="Heading2"/>
      </w:pPr>
      <w:r>
        <w:t>Packaging</w:t>
      </w:r>
    </w:p>
    <w:p>
      <w:r>
        <w:t>Provide an editable Word master, a searchable Markdown copy for plugin reference use, a structured claims register, and clearly named image assets. Keep public copy separate from internal source notes and commercial details. Archive rejected and superseded content so it cannot be selected as current.</w:t>
      </w:r>
    </w:p>
    <w:p>
      <w:r>
        <w:br w:type="page"/>
      </w:r>
    </w:p>
    <w:p>
      <w:pPr>
        <w:pStyle w:val="Heading1"/>
      </w:pPr>
      <w:r>
        <w:t>6. Production instructions and acceptance</w:t>
      </w:r>
    </w:p>
    <w:p>
      <w:pPr>
        <w:pStyle w:val="Heading2"/>
      </w:pPr>
      <w:r>
        <w:t>Instructions to the Marketing Lab plugin</w:t>
      </w:r>
    </w:p>
    <w:p>
      <w:r>
        <w:t>Create the Burst SMS Philippines messaging library using this brief. Apply Tori’s current brand and CTA instructions before older source wording. Build from the complete shared platform inventory, then qualify each feature for the Philippines. Use the priority industries, proof rules, localisation standards, and required deliverables in this brief. Write original copy from the message map. Preserve exact approved quotes and artwork. Produce usable assets, not just content suggestions.</w:t>
      </w:r>
    </w:p>
    <w:p>
      <w:pPr>
        <w:pStyle w:val="Heading2"/>
      </w:pPr>
      <w:r>
        <w:t>Working sequence</w:t>
      </w:r>
    </w:p>
    <w:p>
      <w:r>
        <w:t>1. Read the source material and catalogue claims, approvals, and conflicts.</w:t>
        <w:br/>
        <w:t>2. Confirm the capability inventory and local commercial scope with named owners.</w:t>
        <w:br/>
        <w:t>3. Draft the master positioning and audience modules.</w:t>
        <w:br/>
        <w:t>4. Create product, sales, campaign, social, and SMS assets.</w:t>
        <w:br/>
        <w:t>5. Attach evidence and complete local, product, brand, and destination checks.</w:t>
        <w:br/>
        <w:t>6. Package the current approved library and its changelog.</w:t>
      </w:r>
    </w:p>
    <w:p>
      <w:pPr>
        <w:pStyle w:val="Heading2"/>
      </w:pPr>
      <w:r>
        <w:t>Suggested review ownership</w:t>
      </w:r>
    </w:p>
    <w:p>
      <w:r>
        <w:t>Tori: positioning, voice, and final brand approval. Grace: local audience relevance, team details, and offers. Product: release status, entitlements, and integrations. Connectivity: routes, senders, registration, encoding, receipts, and links. Security/legal: certifications, entity scope, privacy, and contractual claims. Finance/commercial: PHP pricing, taxes, fees, and partner terms. Confirm individual assignees in the register.</w:t>
      </w:r>
    </w:p>
    <w:p>
      <w:pPr>
        <w:pStyle w:val="Heading2"/>
      </w:pPr>
      <w:r>
        <w:t>Acceptance checklist</w:t>
      </w:r>
    </w:p>
    <w:p>
      <w:pPr>
        <w:pStyle w:val="ListBullet"/>
      </w:pPr>
      <w:r>
        <w:t>All customer-facing assets promote Burst SMS and use the PH website as the CTA destination. Check copy, images, metadata, alt text, QR codes, and UI screenshots.</w:t>
      </w:r>
    </w:p>
    <w:p>
      <w:pPr>
        <w:pStyle w:val="ListBullet"/>
      </w:pPr>
      <w:r>
        <w:t>Every priority audience and product family has usable, localised copy with a clear next step.</w:t>
      </w:r>
    </w:p>
    <w:p>
      <w:pPr>
        <w:pStyle w:val="ListBullet"/>
      </w:pPr>
      <w:r>
        <w:t>Every factual product, price, compliance, security, partner, or performance claim has scoped evidence and publication status.</w:t>
      </w:r>
    </w:p>
    <w:p>
      <w:pPr>
        <w:pStyle w:val="ListBullet"/>
      </w:pPr>
      <w:r>
        <w:t>No roadmap item is described as live. No PH MMS claim, unsupported reply-to-alpha CTA, AU-only compliance offer, or assumed PH RCS/voice availability appears.</w:t>
      </w:r>
    </w:p>
    <w:p>
      <w:pPr>
        <w:pStyle w:val="ListBullet"/>
      </w:pPr>
      <w:r>
        <w:t>No em dashes, generic SaaS filler, forced slang, fabricated testimonials, or unsubstantiated superiority claims appear.</w:t>
      </w:r>
    </w:p>
    <w:p>
      <w:pPr>
        <w:pStyle w:val="ListBullet"/>
      </w:pPr>
      <w:r>
        <w:t>Every social post has its supporting image, correct supplied logo lockup, readable layout, and appropriate alt text. Approved images contain no obsolete approval watermarks.</w:t>
      </w:r>
    </w:p>
    <w:p>
      <w:pPr>
        <w:pStyle w:val="Heading2"/>
      </w:pPr>
      <w:r>
        <w:t>Library maintenance</w:t>
      </w:r>
    </w:p>
    <w:p>
      <w:r>
        <w:t>Review monthly and whenever product, routing, pricing, carrier rules, or brand instructions change. Assign an owner to each module. Retire outdated copy and record the replacement. Recheck evidence before publishing claims with changing availability or dates.</w:t>
      </w:r>
    </w:p>
    <w:p>
      <w:r>
        <w:br w:type="page"/>
      </w:r>
    </w:p>
    <w:p>
      <w:pPr>
        <w:pStyle w:val="Heading1"/>
      </w:pPr>
      <w:r>
        <w:t>7. Source index and decision precedence</w:t>
      </w:r>
    </w:p>
    <w:p>
      <w:r>
        <w:t>Reviewed 9 October 2026. Internal source URLs below are reference links for the plugin, not customer-facing CTAs.</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r>
              <w:rPr>
                <w:sz w:val="18"/>
              </w:rPr>
              <w:t>Source</w:t>
            </w:r>
          </w:p>
        </w:tc>
        <w:tc>
          <w:tcPr>
            <w:tcW w:type="dxa" w:w="4946"/>
          </w:tcPr>
          <w:p>
            <w:r>
              <w:rPr>
                <w:sz w:val="18"/>
              </w:rPr>
              <w:t>Version/date and use</w:t>
            </w:r>
          </w:p>
        </w:tc>
      </w:tr>
      <w:tr>
        <w:trPr>
          <w:cantSplit/>
        </w:trPr>
        <w:tc>
          <w:tcPr>
            <w:tcW w:type="dxa" w:w="4946"/>
          </w:tcPr>
          <w:p>
            <w:r>
              <w:rPr>
                <w:sz w:val="18"/>
              </w:rPr>
              <w:t>Current Tori instruction and visible chat history</w:t>
            </w:r>
          </w:p>
        </w:tc>
        <w:tc>
          <w:tcPr>
            <w:tcW w:type="dxa" w:w="4946"/>
          </w:tcPr>
          <w:p>
            <w:r>
              <w:rPr>
                <w:sz w:val="18"/>
              </w:rPr>
              <w:t>9 October 2026: Burst-only promotion, PH URL, shared functionality; social-image and logo decisions; Grace title and quote approval record.</w:t>
            </w:r>
          </w:p>
        </w:tc>
      </w:tr>
      <w:tr>
        <w:trPr>
          <w:cantSplit/>
        </w:trPr>
        <w:tc>
          <w:tcPr>
            <w:tcW w:type="dxa" w:w="4946"/>
          </w:tcPr>
          <w:p>
            <w:r>
              <w:rPr>
                <w:sz w:val="18"/>
              </w:rPr>
              <w:t>Burst SMS PH Marketing Lab references</w:t>
            </w:r>
          </w:p>
        </w:tc>
        <w:tc>
          <w:tcPr>
            <w:tcW w:type="dxa" w:w="4946"/>
          </w:tcPr>
          <w:p>
            <w:r>
              <w:rPr>
                <w:sz w:val="18"/>
              </w:rPr>
              <w:t>Current skill: content voice, design system, mandatory PH lockup, source and creative requirements.</w:t>
            </w:r>
          </w:p>
        </w:tc>
      </w:tr>
      <w:tr>
        <w:trPr>
          <w:cantSplit/>
        </w:trPr>
        <w:tc>
          <w:tcPr>
            <w:tcW w:type="dxa" w:w="4946"/>
          </w:tcPr>
          <w:p>
            <w:r>
              <w:rPr>
                <w:sz w:val="18"/>
              </w:rPr>
              <w:t>PH Momentum | Google Drive</w:t>
            </w:r>
          </w:p>
        </w:tc>
        <w:tc>
          <w:tcPr>
            <w:tcW w:type="dxa" w:w="4946"/>
          </w:tcPr>
          <w:p>
            <w:r>
              <w:rPr>
                <w:sz w:val="18"/>
              </w:rPr>
              <w:t>Modified 9 August 2026: regulated-sector priorities, use cases, outbound-led motion, operational dependencies. Supersede its public Kudosity references.</w:t>
            </w:r>
          </w:p>
        </w:tc>
      </w:tr>
      <w:tr>
        <w:trPr>
          <w:cantSplit/>
        </w:trPr>
        <w:tc>
          <w:tcPr>
            <w:tcW w:type="dxa" w:w="4946"/>
          </w:tcPr>
          <w:p>
            <w:r>
              <w:rPr>
                <w:sz w:val="18"/>
              </w:rPr>
              <w:t>Kudosity Messaging Platform | Google Drive</w:t>
            </w:r>
          </w:p>
        </w:tc>
        <w:tc>
          <w:tcPr>
            <w:tcW w:type="dxa" w:w="4946"/>
          </w:tcPr>
          <w:p>
            <w:r>
              <w:rPr>
                <w:sz w:val="18"/>
              </w:rPr>
              <w:t>Modified 6 March 2026: shared platform capability inventory. Claims and competitor table require fresh scoped verification.</w:t>
            </w:r>
          </w:p>
        </w:tc>
      </w:tr>
      <w:tr>
        <w:trPr>
          <w:cantSplit/>
        </w:trPr>
        <w:tc>
          <w:tcPr>
            <w:tcW w:type="dxa" w:w="4946"/>
          </w:tcPr>
          <w:p>
            <w:r>
              <w:rPr>
                <w:sz w:val="18"/>
              </w:rPr>
              <w:t>Kudosity’s First ABM Play | Google Drive</w:t>
            </w:r>
          </w:p>
        </w:tc>
        <w:tc>
          <w:tcPr>
            <w:tcW w:type="dxa" w:w="4946"/>
          </w:tcPr>
          <w:p>
            <w:r>
              <w:rPr>
                <w:sz w:val="18"/>
              </w:rPr>
              <w:t>Modified 9 October 2026: distinguish known evidence from hypotheses; coordinated account outreach and reusable asset kit.</w:t>
            </w:r>
          </w:p>
        </w:tc>
      </w:tr>
      <w:tr>
        <w:trPr>
          <w:cantSplit/>
        </w:trPr>
        <w:tc>
          <w:tcPr>
            <w:tcW w:type="dxa" w:w="4946"/>
          </w:tcPr>
          <w:p>
            <w:r>
              <w:rPr>
                <w:sz w:val="18"/>
              </w:rPr>
              <w:t>Product Roadmap Clinic | Google Drive</w:t>
            </w:r>
          </w:p>
        </w:tc>
        <w:tc>
          <w:tcPr>
            <w:tcW w:type="dxa" w:w="4946"/>
          </w:tcPr>
          <w:p>
            <w:r>
              <w:rPr>
                <w:sz w:val="18"/>
              </w:rPr>
              <w:t>Modified 8 October 2026, meeting 9 September: release and roadmap context. Meeting notes are not release confirmation.</w:t>
            </w:r>
          </w:p>
        </w:tc>
      </w:tr>
      <w:tr>
        <w:trPr>
          <w:cantSplit/>
        </w:trPr>
        <w:tc>
          <w:tcPr>
            <w:tcW w:type="dxa" w:w="4946"/>
          </w:tcPr>
          <w:p>
            <w:r>
              <w:rPr>
                <w:sz w:val="18"/>
              </w:rPr>
              <w:t>Partner Content; Developer and AI Agent Content | Drive</w:t>
            </w:r>
          </w:p>
        </w:tc>
        <w:tc>
          <w:tcPr>
            <w:tcW w:type="dxa" w:w="4946"/>
          </w:tcPr>
          <w:p>
            <w:r>
              <w:rPr>
                <w:sz w:val="18"/>
              </w:rPr>
              <w:t>Modified 22 May 2026: partner, embedded messaging, workflow, and developer messaging patterns. Adapt brand, geography, and all destinations.</w:t>
            </w:r>
          </w:p>
        </w:tc>
      </w:tr>
      <w:tr>
        <w:trPr>
          <w:cantSplit/>
        </w:trPr>
        <w:tc>
          <w:tcPr>
            <w:tcW w:type="dxa" w:w="4946"/>
          </w:tcPr>
          <w:p>
            <w:r>
              <w:rPr>
                <w:sz w:val="18"/>
              </w:rPr>
              <w:t>Philippines | Confluence, 3104112822</w:t>
            </w:r>
          </w:p>
        </w:tc>
        <w:tc>
          <w:tcPr>
            <w:tcW w:type="dxa" w:w="4946"/>
          </w:tcPr>
          <w:p>
            <w:r>
              <w:rPr>
                <w:sz w:val="18"/>
              </w:rPr>
              <w:t>Modified 14 September 2026: sender options, two-way SMS, no MMS, consent/opt-out and route restrictions. Resolve conflicting length/encoding notes.</w:t>
            </w:r>
          </w:p>
        </w:tc>
      </w:tr>
      <w:tr>
        <w:trPr>
          <w:cantSplit/>
        </w:trPr>
        <w:tc>
          <w:tcPr>
            <w:tcW w:type="dxa" w:w="4946"/>
          </w:tcPr>
          <w:p>
            <w:r>
              <w:rPr>
                <w:sz w:val="18"/>
              </w:rPr>
              <w:t>PH SID Registration Process | Confluence, 4324884716</w:t>
            </w:r>
          </w:p>
        </w:tc>
        <w:tc>
          <w:tcPr>
            <w:tcW w:type="dxa" w:w="4946"/>
          </w:tcPr>
          <w:p>
            <w:r>
              <w:rPr>
                <w:sz w:val="18"/>
              </w:rPr>
              <w:t>Modified 17 August 2026: documents, classification, sender limits, carrier workflows, and indicative lead times.</w:t>
            </w:r>
          </w:p>
        </w:tc>
      </w:tr>
      <w:tr>
        <w:trPr>
          <w:cantSplit/>
        </w:trPr>
        <w:tc>
          <w:tcPr>
            <w:tcW w:type="dxa" w:w="4946"/>
          </w:tcPr>
          <w:p>
            <w:r>
              <w:rPr>
                <w:sz w:val="18"/>
              </w:rPr>
              <w:t>Burst SMS Inc. Registrations (2026) | Confluence, 4933025798</w:t>
            </w:r>
          </w:p>
        </w:tc>
        <w:tc>
          <w:tcPr>
            <w:tcW w:type="dxa" w:w="4946"/>
          </w:tcPr>
          <w:p>
            <w:r>
              <w:rPr>
                <w:sz w:val="18"/>
              </w:rPr>
              <w:t>Modified 13 August 2026: entity/address/permit work. Validate current credentials before public use.</w:t>
            </w:r>
          </w:p>
        </w:tc>
      </w:tr>
      <w:tr>
        <w:trPr>
          <w:cantSplit/>
        </w:trPr>
        <w:tc>
          <w:tcPr>
            <w:tcW w:type="dxa" w:w="4946"/>
          </w:tcPr>
          <w:p>
            <w:r>
              <w:rPr>
                <w:sz w:val="18"/>
              </w:rPr>
              <w:t>VERA Feature Register | Confluence, 5018222622</w:t>
            </w:r>
          </w:p>
        </w:tc>
        <w:tc>
          <w:tcPr>
            <w:tcW w:type="dxa" w:w="4946"/>
          </w:tcPr>
          <w:p>
            <w:r>
              <w:rPr>
                <w:sz w:val="18"/>
              </w:rPr>
              <w:t>Modified 23 September 2026: manual/live/proposed distinctions. AU-specific requirements must not become PH claims.</w:t>
            </w:r>
          </w:p>
        </w:tc>
      </w:tr>
      <w:tr>
        <w:trPr>
          <w:cantSplit/>
        </w:trPr>
        <w:tc>
          <w:tcPr>
            <w:tcW w:type="dxa" w:w="4946"/>
          </w:tcPr>
          <w:p>
            <w:r>
              <w:rPr>
                <w:sz w:val="18"/>
              </w:rPr>
              <w:t>Vonage VoIP Service Offering | Confluence, 5157552175</w:t>
            </w:r>
          </w:p>
        </w:tc>
        <w:tc>
          <w:tcPr>
            <w:tcW w:type="dxa" w:w="4946"/>
          </w:tcPr>
          <w:p>
            <w:r>
              <w:rPr>
                <w:sz w:val="18"/>
              </w:rPr>
              <w:t>Modified 2 October 2026: assessed partner voice model and channel dependencies, not PH general availability.</w:t>
            </w:r>
          </w:p>
        </w:tc>
      </w:tr>
      <w:tr>
        <w:trPr>
          <w:cantSplit/>
        </w:trPr>
        <w:tc>
          <w:tcPr>
            <w:tcW w:type="dxa" w:w="4946"/>
          </w:tcPr>
          <w:p>
            <w:r>
              <w:rPr>
                <w:sz w:val="18"/>
              </w:rPr>
              <w:t>PLDT Enterprise onboarding draft | Google Drive</w:t>
            </w:r>
          </w:p>
        </w:tc>
        <w:tc>
          <w:tcPr>
            <w:tcW w:type="dxa" w:w="4946"/>
          </w:tcPr>
          <w:p>
            <w:r>
              <w:rPr>
                <w:sz w:val="18"/>
              </w:rPr>
              <w:t>Modified 14 October 2025: potential partnership proof. Verify publication rights, current scope, and numbers before reuse.</w:t>
            </w:r>
          </w:p>
        </w:tc>
      </w:tr>
    </w:tbl>
    <w:p>
      <w:r>
        <w:br w:type="page"/>
      </w:r>
    </w:p>
    <w:p>
      <w:pPr>
        <w:pStyle w:val="Heading1"/>
      </w:pPr>
      <w:r>
        <w:t>8. Reference links</w:t>
      </w:r>
    </w:p>
    <w:p>
      <w:pPr>
        <w:pStyle w:val="Heading2"/>
      </w:pPr>
      <w:r>
        <w:t>PH Momentum</w:t>
      </w:r>
    </w:p>
    <w:p>
      <w:r>
        <w:t>https://docs.google.com/presentation/d/1v9eTOjZA7qI8CMaR5bvLhJnyRQ6iYA1xCVpC0yCvi6w/edit</w:t>
      </w:r>
    </w:p>
    <w:p>
      <w:pPr>
        <w:pStyle w:val="Heading2"/>
      </w:pPr>
      <w:r>
        <w:t>Shared platform</w:t>
      </w:r>
    </w:p>
    <w:p>
      <w:r>
        <w:t>https://docs.google.com/presentation/d/1rgUHdtUHW2Yz4jn1hHg_m-lPhlBJs5rlGmcbSEFQ9jM/edit</w:t>
      </w:r>
    </w:p>
    <w:p>
      <w:pPr>
        <w:pStyle w:val="Heading2"/>
      </w:pPr>
      <w:r>
        <w:t>ABM play</w:t>
      </w:r>
    </w:p>
    <w:p>
      <w:r>
        <w:t>https://docs.google.com/presentation/d/1NAsESkPKHR1ucmJWJSaCVopTskECmjTlMAx385aGF-Y/edit</w:t>
      </w:r>
    </w:p>
    <w:p>
      <w:pPr>
        <w:pStyle w:val="Heading2"/>
      </w:pPr>
      <w:r>
        <w:t>Roadmap clinic</w:t>
      </w:r>
    </w:p>
    <w:p>
      <w:r>
        <w:t>https://docs.google.com/document/d/1Mxq6H1OmPs8KyersqrwYlSrg1b3oGgbT3tiGrkALmuU/edit</w:t>
      </w:r>
    </w:p>
    <w:p>
      <w:pPr>
        <w:pStyle w:val="Heading2"/>
      </w:pPr>
      <w:r>
        <w:t>Partner content</w:t>
      </w:r>
    </w:p>
    <w:p>
      <w:r>
        <w:t>https://docs.google.com/document/d/1QLCh4FTva_o3Kz_ZfinubygWkcuAuVU-pMLTfEg3iMg/edit</w:t>
      </w:r>
    </w:p>
    <w:p>
      <w:pPr>
        <w:pStyle w:val="Heading2"/>
      </w:pPr>
      <w:r>
        <w:t>Developer content</w:t>
      </w:r>
    </w:p>
    <w:p>
      <w:r>
        <w:t>https://docs.google.com/document/d/10ZEq5ubSXxrMKiMeUMBRCNPpN1IV2R8cAkEdjhR1YHo/edit</w:t>
      </w:r>
    </w:p>
    <w:p>
      <w:pPr>
        <w:pStyle w:val="Heading2"/>
      </w:pPr>
      <w:r>
        <w:t>PLDT draft</w:t>
      </w:r>
    </w:p>
    <w:p>
      <w:r>
        <w:t>https://docs.google.com/document/d/1Av0c3aJ1G0Hiyb1vP7NzDJouLUGDxmPkVQ4xiHf6qx8/edit</w:t>
      </w:r>
    </w:p>
    <w:p>
      <w:pPr>
        <w:pStyle w:val="Heading2"/>
      </w:pPr>
      <w:r>
        <w:t>Philippines connectivity</w:t>
      </w:r>
    </w:p>
    <w:p>
      <w:r>
        <w:t>https://kudosity.atlassian.net/wiki/pages/viewpage.action?pageId=3104112822</w:t>
      </w:r>
    </w:p>
    <w:p>
      <w:pPr>
        <w:pStyle w:val="Heading2"/>
      </w:pPr>
      <w:r>
        <w:t>PH Sender ID registration</w:t>
      </w:r>
    </w:p>
    <w:p>
      <w:r>
        <w:t>https://kudosity.atlassian.net/wiki/pages/viewpage.action?pageId=4324884716</w:t>
      </w:r>
    </w:p>
    <w:p>
      <w:pPr>
        <w:pStyle w:val="Heading2"/>
      </w:pPr>
      <w:r>
        <w:t>Burst SMS Inc. registrations</w:t>
      </w:r>
    </w:p>
    <w:p>
      <w:r>
        <w:t>https://kudosity.atlassian.net/wiki/pages/viewpage.action?pageId=4933025798</w:t>
      </w:r>
    </w:p>
    <w:p>
      <w:pPr>
        <w:pStyle w:val="Heading2"/>
      </w:pPr>
      <w:r>
        <w:t>VERA feature register</w:t>
      </w:r>
    </w:p>
    <w:p>
      <w:r>
        <w:t>https://kudosity.atlassian.net/wiki/pages/viewpage.action?pageId=5018222622</w:t>
      </w:r>
    </w:p>
    <w:p>
      <w:pPr>
        <w:pStyle w:val="Heading2"/>
      </w:pPr>
      <w:r>
        <w:t>Vonage voice offering</w:t>
      </w:r>
    </w:p>
    <w:p>
      <w:r>
        <w:t>https://kudosity.atlassian.net/wiki/pages/viewpage.action?pageId=5157552175</w:t>
      </w:r>
    </w:p>
    <w:p>
      <w:pPr>
        <w:pStyle w:val="Heading2"/>
      </w:pPr>
      <w:r>
        <w:t>Precedence</w:t>
      </w:r>
    </w:p>
    <w:p>
      <w:r>
        <w:t>Current explicit Tori instructions take priority for branding, CTA destination, and shared platform context. Current specialist records govern operational scope. Recent approved strategy governs audience priorities. Older decks and drafts provide ideas and history, not automatic publication approval. Retain unresolved conflicts in the claims register.</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002A66"/>
      <w:sz w:val="40"/>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002A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2A6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Burst SMS Philippines Messaging Library: Plugin Brief</dc:title>
  <dc:subject/>
  <dc:creator>Tori Starkey</dc:creator>
  <cp:keywords/>
  <dc:description>generated by python-docx</dc:description>
  <cp:lastModifiedBy/>
  <cp:revision>1</cp:revision>
  <dcterms:created xsi:type="dcterms:W3CDTF">2013-12-23T23:15:00Z</dcterms:created>
  <dcterms:modified xsi:type="dcterms:W3CDTF">2013-12-23T23:15:00Z</dcterms:modified>
  <cp:category/>
</cp:coreProperties>
</file>