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AB1C7A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r w:rsidR="00405A68">
              <w:rPr>
                <w:b w:val="0"/>
                <w:bCs w:val="0"/>
                <w:lang w:val="fr-FR"/>
              </w:rPr>
              <w:t>mensuelle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r w:rsidR="00405A68">
              <w:rPr>
                <w:b w:val="0"/>
                <w:bCs w:val="0"/>
                <w:lang w:val="fr-FR"/>
              </w:rPr>
              <w:t>technologique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r w:rsidR="00405A68">
              <w:rPr>
                <w:b w:val="0"/>
                <w:bCs w:val="0"/>
                <w:lang w:val="fr-FR"/>
              </w:rPr>
              <w:t>de domaine</w:t>
            </w:r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Pr="00803458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624E50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  <w:p w:rsidR="00F27512" w:rsidRPr="00803458" w:rsidRDefault="00544DE9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624E50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bookmarkStart w:id="0" w:name="_GoBack"/>
            <w:bookmarkEnd w:id="0"/>
            <w:r w:rsidR="00F27512">
              <w:rPr>
                <w:lang w:val="fr-FR"/>
              </w:rPr>
              <w:t>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200.</w:t>
            </w:r>
            <w:r w:rsidR="00F27512">
              <w:rPr>
                <w:lang w:val="fr-FR"/>
              </w:rPr>
              <w:t>00 €</w:t>
            </w:r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D27A63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B82A93">
              <w:rPr>
                <w:lang w:val="fr-FR"/>
              </w:rPr>
              <w:t>0</w:t>
            </w:r>
            <w:r w:rsidR="00F27512">
              <w:rPr>
                <w:lang w:val="fr-FR"/>
              </w:rPr>
              <w:t>00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Pr="00803458" w:rsidRDefault="00544DE9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  <w:r w:rsidR="00F27512">
              <w:rPr>
                <w:lang w:val="fr-FR"/>
              </w:rPr>
              <w:t>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AB1C7A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D27A63" w:rsidP="00B82A9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B82A93">
              <w:rPr>
                <w:lang w:val="fr-FR"/>
              </w:rPr>
              <w:t>3</w:t>
            </w:r>
            <w:r w:rsidR="00544DE9">
              <w:rPr>
                <w:lang w:val="fr-FR"/>
              </w:rPr>
              <w:t>40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544DE9" w:rsidP="00D27A6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D27A63">
              <w:rPr>
                <w:lang w:val="fr-FR"/>
              </w:rPr>
              <w:t>4</w:t>
            </w:r>
            <w:r w:rsidR="00B82A93">
              <w:rPr>
                <w:lang w:val="fr-FR"/>
              </w:rPr>
              <w:t>6</w:t>
            </w:r>
            <w:r>
              <w:rPr>
                <w:lang w:val="fr-FR"/>
              </w:rPr>
              <w:t>8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D27A63" w:rsidP="00B82A93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8808</w:t>
            </w:r>
            <w:r w:rsidR="00544DE9">
              <w:rPr>
                <w:b/>
                <w:lang w:val="fr-FR"/>
              </w:rPr>
              <w:t xml:space="preserve"> </w:t>
            </w:r>
            <w:r w:rsidR="00F27512" w:rsidRPr="00803458">
              <w:rPr>
                <w:b/>
                <w:lang w:val="fr-FR"/>
              </w:rPr>
              <w:t>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44" w:rsidRDefault="00E01844" w:rsidP="00F27512">
      <w:r>
        <w:separator/>
      </w:r>
    </w:p>
  </w:endnote>
  <w:endnote w:type="continuationSeparator" w:id="0">
    <w:p w:rsidR="00E01844" w:rsidRDefault="00E01844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44" w:rsidRDefault="00E01844" w:rsidP="00F27512">
      <w:r>
        <w:separator/>
      </w:r>
    </w:p>
  </w:footnote>
  <w:footnote w:type="continuationSeparator" w:id="0">
    <w:p w:rsidR="00E01844" w:rsidRDefault="00E01844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07410E"/>
    <w:rsid w:val="003E5014"/>
    <w:rsid w:val="00405A68"/>
    <w:rsid w:val="00427991"/>
    <w:rsid w:val="00544DE9"/>
    <w:rsid w:val="00624E50"/>
    <w:rsid w:val="007A01C6"/>
    <w:rsid w:val="008946A3"/>
    <w:rsid w:val="00AB1C7A"/>
    <w:rsid w:val="00B82A93"/>
    <w:rsid w:val="00C7576C"/>
    <w:rsid w:val="00D27A63"/>
    <w:rsid w:val="00E01844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662FF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8</cp:revision>
  <cp:lastPrinted>2019-12-03T10:27:00Z</cp:lastPrinted>
  <dcterms:created xsi:type="dcterms:W3CDTF">2019-12-03T08:15:00Z</dcterms:created>
  <dcterms:modified xsi:type="dcterms:W3CDTF">2019-12-03T14:30:00Z</dcterms:modified>
</cp:coreProperties>
</file>