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GSD2T — Strategy 1: Macro-Overlay Tech</w:t>
      </w:r>
    </w:p>
    <w:p>
      <w:r>
        <w:rPr>
          <w:i/>
          <w:color w:val="555555"/>
          <w:sz w:val="22"/>
        </w:rPr>
        <w:t>Team brief · ESADE Asset Management · The pitched fund (S1)</w:t>
      </w:r>
    </w:p>
    <w:p>
      <w:r>
        <w:rPr>
          <w:i/>
          <w:color w:val="888888"/>
          <w:sz w:val="18"/>
        </w:rPr>
        <w:t>All performance is SIMULATED on historical data (2002–2026). The fund is fictional.</w:t>
      </w:r>
    </w:p>
    <w:p>
      <w:pPr>
        <w:pStyle w:val="Heading1"/>
      </w:pPr>
      <w:r>
        <w:t>1. The strategy in one paragraph</w:t>
      </w:r>
    </w:p>
    <w:p>
      <w:r>
        <w:rPr>
          <w:b w:val="0"/>
          <w:i w:val="0"/>
          <w:sz w:val="22"/>
        </w:rPr>
        <w:t>S1 buys the strongest-performing US technology stocks (a momentum signal) and then uses a simple macroeconomic “risk dial” to decide how much of the portfolio to hold in those stocks versus cash. In calm, healthy markets the dial turns exposure up toward 100%; when stress signals flash (rising volatility, widening credit spreads, rising rates, weakening trend) it turns exposure down toward a 30% floor and parks the rest in cash. The result is tech-like upside with materially smaller drawdowns.</w:t>
      </w:r>
    </w:p>
    <w:p>
      <w:pPr>
        <w:pStyle w:val="Heading1"/>
      </w:pPr>
      <w:r>
        <w:t>2. How it works — two layers</w:t>
      </w:r>
    </w:p>
    <w:p>
      <w:r>
        <w:rPr>
          <w:b/>
          <w:i w:val="0"/>
          <w:sz w:val="22"/>
        </w:rPr>
        <w:t>The strategy is built from two independent layers:</w:t>
      </w:r>
    </w:p>
    <w:p>
      <w:pPr>
        <w:pStyle w:val="ListBullet"/>
      </w:pPr>
      <w:r>
        <w:t>Layer 1 – Stock selection: pick which tech stocks to own (momentum).</w:t>
      </w:r>
    </w:p>
    <w:p>
      <w:pPr>
        <w:pStyle w:val="ListBullet"/>
      </w:pPr>
      <w:r>
        <w:t>Layer 2 – Macro overlay: decide how much to own overall (the risk dial).</w:t>
      </w:r>
    </w:p>
    <w:p>
      <w:r>
        <w:rPr>
          <w:b w:val="0"/>
          <w:i/>
          <w:sz w:val="22"/>
        </w:rPr>
        <w:t>Final position in each stock  =  (equal weight within the chosen stocks)  ×  (macro exposure level).</w:t>
      </w:r>
    </w:p>
    <w:p>
      <w:pPr>
        <w:pStyle w:val="Heading1"/>
      </w:pPr>
      <w:r>
        <w:t>3. Layer 1 — Stock selection (the momentum factor)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Universe</w:t>
            </w:r>
          </w:p>
        </w:tc>
        <w:tc>
          <w:tcPr>
            <w:tcW w:type="dxa" w:w="4320"/>
          </w:tcPr>
          <w:p>
            <w:r>
              <w:t>S&amp;P 500 ∩ Information Technology — 73 stocks</w:t>
            </w:r>
          </w:p>
        </w:tc>
      </w:tr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12-minus-1 month price momentum</w:t>
            </w:r>
          </w:p>
        </w:tc>
      </w:tr>
      <w:tr>
        <w:tc>
          <w:tcPr>
            <w:tcW w:type="dxa" w:w="4320"/>
          </w:tcPr>
          <w:p>
            <w:r>
              <w:t>How computed</w:t>
            </w:r>
          </w:p>
        </w:tc>
        <w:tc>
          <w:tcPr>
            <w:tcW w:type="dxa" w:w="4320"/>
          </w:tcPr>
          <w:p>
            <w:r>
              <w:t>Total return over the last 12 months, excluding the most recent month (skip-a-month avoids short-term reversal)</w:t>
            </w:r>
          </w:p>
        </w:tc>
      </w:tr>
      <w:tr>
        <w:tc>
          <w:tcPr>
            <w:tcW w:type="dxa" w:w="4320"/>
          </w:tcPr>
          <w:p>
            <w:r>
              <w:t>Ranking</w:t>
            </w:r>
          </w:p>
        </w:tc>
        <w:tc>
          <w:tcPr>
            <w:tcW w:type="dxa" w:w="4320"/>
          </w:tcPr>
          <w:p>
            <w:r>
              <w:t>Each stock z-scored against the universe each month</w:t>
            </w:r>
          </w:p>
        </w:tc>
      </w:tr>
      <w:tr>
        <w:tc>
          <w:tcPr>
            <w:tcW w:type="dxa" w:w="4320"/>
          </w:tcPr>
          <w:p>
            <w:r>
              <w:t>Selection</w:t>
            </w:r>
          </w:p>
        </w:tc>
        <w:tc>
          <w:tcPr>
            <w:tcW w:type="dxa" w:w="4320"/>
          </w:tcPr>
          <w:p>
            <w:r>
              <w:t>Hold the top quartile (best ~25%) ≈ 18–19 stocks</w:t>
            </w:r>
          </w:p>
        </w:tc>
      </w:tr>
      <w:tr>
        <w:tc>
          <w:tcPr>
            <w:tcW w:type="dxa" w:w="4320"/>
          </w:tcPr>
          <w:p>
            <w:r>
              <w:t>Weighting</w:t>
            </w:r>
          </w:p>
        </w:tc>
        <w:tc>
          <w:tcPr>
            <w:tcW w:type="dxa" w:w="4320"/>
          </w:tcPr>
          <w:p>
            <w:r>
              <w:t>Equal weight within the selected stocks</w:t>
            </w:r>
          </w:p>
        </w:tc>
      </w:tr>
    </w:tbl>
    <w:p>
      <w:r>
        <w:rPr>
          <w:b w:val="0"/>
          <w:i/>
          <w:sz w:val="22"/>
        </w:rPr>
        <w:t>Why momentum: winners tend to keep winning over 3–12 month horizons, a well-documented effect (Jegadeesh &amp; Titman, 1993). Equal-weighting keeps the book diversified and prevents any single name from dominating.</w:t>
      </w:r>
    </w:p>
    <w:p>
      <w:pPr>
        <w:pStyle w:val="Heading1"/>
      </w:pPr>
      <w:r>
        <w:t>4. Layer 2 — The macro overlay (4 factors)</w:t>
      </w:r>
    </w:p>
    <w:p>
      <w:r>
        <w:rPr>
          <w:b w:val="0"/>
          <w:i w:val="0"/>
          <w:sz w:val="22"/>
        </w:rPr>
        <w:t>Four economically-motivated signals are each standardised (z-scored over a rolling 5-year window) and averaged into one composite “risk score”. Three are stress signals (turn risk down) and one is a trend signal (turn risk up).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Macro factor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What it captures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Data used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How computed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Direction</w:t>
            </w:r>
          </w:p>
        </w:tc>
      </w:tr>
      <w:tr>
        <w:tc>
          <w:tcPr>
            <w:tcW w:type="dxa" w:w="1728"/>
          </w:tcPr>
          <w:p>
            <w:r>
              <w:t>VIX</w:t>
            </w:r>
          </w:p>
        </w:tc>
        <w:tc>
          <w:tcPr>
            <w:tcW w:type="dxa" w:w="1728"/>
          </w:tcPr>
          <w:p>
            <w:r>
              <w:t>Equity fear / volatility</w:t>
            </w:r>
          </w:p>
        </w:tc>
        <w:tc>
          <w:tcPr>
            <w:tcW w:type="dxa" w:w="1728"/>
          </w:tcPr>
          <w:p>
            <w:r>
              <w:t>CBOE VIX index</w:t>
            </w:r>
          </w:p>
        </w:tc>
        <w:tc>
          <w:tcPr>
            <w:tcW w:type="dxa" w:w="1728"/>
          </w:tcPr>
          <w:p>
            <w:r>
              <w:t>z-score of VIX level</w:t>
            </w:r>
          </w:p>
        </w:tc>
        <w:tc>
          <w:tcPr>
            <w:tcW w:type="dxa" w:w="1728"/>
          </w:tcPr>
          <w:p>
            <w:r>
              <w:t>High → de-risk</w:t>
            </w:r>
          </w:p>
        </w:tc>
      </w:tr>
      <w:tr>
        <w:tc>
          <w:tcPr>
            <w:tcW w:type="dxa" w:w="1728"/>
          </w:tcPr>
          <w:p>
            <w:r>
              <w:t>Credit</w:t>
            </w:r>
          </w:p>
        </w:tc>
        <w:tc>
          <w:tcPr>
            <w:tcW w:type="dxa" w:w="1728"/>
          </w:tcPr>
          <w:p>
            <w:r>
              <w:t>Credit stress</w:t>
            </w:r>
          </w:p>
        </w:tc>
        <w:tc>
          <w:tcPr>
            <w:tcW w:type="dxa" w:w="1728"/>
          </w:tcPr>
          <w:p>
            <w:r>
              <w:t>IEF vs HYG ETFs</w:t>
            </w:r>
          </w:p>
        </w:tc>
        <w:tc>
          <w:tcPr>
            <w:tcW w:type="dxa" w:w="1728"/>
          </w:tcPr>
          <w:p>
            <w:r>
              <w:t>z-score of 12-month change in the Treasury-minus-high-yield gap</w:t>
            </w:r>
          </w:p>
        </w:tc>
        <w:tc>
          <w:tcPr>
            <w:tcW w:type="dxa" w:w="1728"/>
          </w:tcPr>
          <w:p>
            <w:r>
              <w:t>Widening → de-risk</w:t>
            </w:r>
          </w:p>
        </w:tc>
      </w:tr>
      <w:tr>
        <w:tc>
          <w:tcPr>
            <w:tcW w:type="dxa" w:w="1728"/>
          </w:tcPr>
          <w:p>
            <w:r>
              <w:t>Yield</w:t>
            </w:r>
          </w:p>
        </w:tc>
        <w:tc>
          <w:tcPr>
            <w:tcW w:type="dxa" w:w="1728"/>
          </w:tcPr>
          <w:p>
            <w:r>
              <w:t>Rate tightening</w:t>
            </w:r>
          </w:p>
        </w:tc>
        <w:tc>
          <w:tcPr>
            <w:tcW w:type="dxa" w:w="1728"/>
          </w:tcPr>
          <w:p>
            <w:r>
              <w:t>10-year Treasury yield</w:t>
            </w:r>
          </w:p>
        </w:tc>
        <w:tc>
          <w:tcPr>
            <w:tcW w:type="dxa" w:w="1728"/>
          </w:tcPr>
          <w:p>
            <w:r>
              <w:t>z-score of 12-month change in the 10Y yield</w:t>
            </w:r>
          </w:p>
        </w:tc>
        <w:tc>
          <w:tcPr>
            <w:tcW w:type="dxa" w:w="1728"/>
          </w:tcPr>
          <w:p>
            <w:r>
              <w:t>Rising → de-risk</w:t>
            </w:r>
          </w:p>
        </w:tc>
      </w:tr>
      <w:tr>
        <w:tc>
          <w:tcPr>
            <w:tcW w:type="dxa" w:w="1728"/>
          </w:tcPr>
          <w:p>
            <w:r>
              <w:t>Trend</w:t>
            </w:r>
          </w:p>
        </w:tc>
        <w:tc>
          <w:tcPr>
            <w:tcW w:type="dxa" w:w="1728"/>
          </w:tcPr>
          <w:p>
            <w:r>
              <w:t>Market momentum</w:t>
            </w:r>
          </w:p>
        </w:tc>
        <w:tc>
          <w:tcPr>
            <w:tcW w:type="dxa" w:w="1728"/>
          </w:tcPr>
          <w:p>
            <w:r>
              <w:t>S&amp;P 500 index</w:t>
            </w:r>
          </w:p>
        </w:tc>
        <w:tc>
          <w:tcPr>
            <w:tcW w:type="dxa" w:w="1728"/>
          </w:tcPr>
          <w:p>
            <w:r>
              <w:t>z-score of the 12-1 month S&amp;P 500 return</w:t>
            </w:r>
          </w:p>
        </w:tc>
        <w:tc>
          <w:tcPr>
            <w:tcW w:type="dxa" w:w="1728"/>
          </w:tcPr>
          <w:p>
            <w:r>
              <w:t>Up → risk-on</w:t>
            </w:r>
          </w:p>
        </w:tc>
      </w:tr>
    </w:tbl>
    <w:p>
      <w:r>
        <w:rPr>
          <w:b w:val="0"/>
          <w:i/>
          <w:sz w:val="22"/>
        </w:rPr>
        <w:t>Composite risk score = average of the four factors (each equally weighted), lagged one month so we never use data we would not have had in real time.</w:t>
      </w:r>
    </w:p>
    <w:p>
      <w:pPr>
        <w:pStyle w:val="Heading2"/>
      </w:pPr>
      <w:r>
        <w:t>From risk score to exposure</w:t>
      </w:r>
    </w:p>
    <w:p>
      <w:r>
        <w:rPr>
          <w:b w:val="0"/>
          <w:i w:val="0"/>
          <w:sz w:val="22"/>
        </w:rPr>
        <w:t>The composite maps to the share of the portfolio held in stocks (the rest sits in cash, earning the risk-free rate):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Risk score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Stock exposure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Cash</w:t>
            </w:r>
          </w:p>
        </w:tc>
      </w:tr>
      <w:tr>
        <w:tc>
          <w:tcPr>
            <w:tcW w:type="dxa" w:w="2880"/>
          </w:tcPr>
          <w:p>
            <w:r>
              <w:t>+2 (calm / risk-on)</w:t>
            </w:r>
          </w:p>
        </w:tc>
        <w:tc>
          <w:tcPr>
            <w:tcW w:type="dxa" w:w="2880"/>
          </w:tcPr>
          <w:p>
            <w:r>
              <w:t>100% (capped)</w:t>
            </w:r>
          </w:p>
        </w:tc>
        <w:tc>
          <w:tcPr>
            <w:tcW w:type="dxa" w:w="2880"/>
          </w:tcPr>
          <w:p>
            <w:r>
              <w:t>0%</w:t>
            </w:r>
          </w:p>
        </w:tc>
      </w:tr>
      <w:tr>
        <w:tc>
          <w:tcPr>
            <w:tcW w:type="dxa" w:w="2880"/>
          </w:tcPr>
          <w:p>
            <w:r>
              <w:t>0 (neutral)</w:t>
            </w:r>
          </w:p>
        </w:tc>
        <w:tc>
          <w:tcPr>
            <w:tcW w:type="dxa" w:w="2880"/>
          </w:tcPr>
          <w:p>
            <w:r>
              <w:t>65%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−2 (stress)</w:t>
            </w:r>
          </w:p>
        </w:tc>
        <w:tc>
          <w:tcPr>
            <w:tcW w:type="dxa" w:w="2880"/>
          </w:tcPr>
          <w:p>
            <w:r>
              <w:t>30% (floor)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>
      <w:pPr>
        <w:pStyle w:val="Heading1"/>
      </w:pPr>
      <w:r>
        <w:t>5. Putting it together — weighting</w:t>
      </w:r>
    </w:p>
    <w:p>
      <w:r>
        <w:rPr>
          <w:b/>
          <w:i w:val="0"/>
          <w:sz w:val="22"/>
        </w:rPr>
        <w:t>Weight per stock  =  (1 / number of stocks held)  ×  macro exposure</w:t>
      </w:r>
    </w:p>
    <w:p>
      <w:r>
        <w:rPr>
          <w:b w:val="0"/>
          <w:i w:val="0"/>
          <w:sz w:val="22"/>
        </w:rPr>
        <w:t>Live example (latest month): 19 stocks held, macro exposure at 72%, so each stock = 3.79% and 28% sits in cash. At full 100% exposure each stock would be ~5.3%.</w:t>
      </w:r>
    </w:p>
    <w:p>
      <w:pPr>
        <w:pStyle w:val="ListBullet"/>
      </w:pPr>
      <w:r>
        <w:t>Equal-weight → built-in single-name cap (~5%) and a minimum of ~18 holdings.</w:t>
      </w:r>
    </w:p>
    <w:p>
      <w:pPr>
        <w:pStyle w:val="ListBullet"/>
      </w:pPr>
      <w:r>
        <w:t>No leverage, no shorting; weights in the stock sleeve sum to the macro exposure level.</w:t>
      </w:r>
    </w:p>
    <w:p>
      <w:pPr>
        <w:pStyle w:val="ListBullet"/>
      </w:pPr>
      <w:r>
        <w:t>Rebalanced monthly; 15 bps round-trip transaction cost assumed.</w:t>
      </w:r>
    </w:p>
    <w:p>
      <w:pPr>
        <w:pStyle w:val="Heading1"/>
      </w:pPr>
      <w:r>
        <w:t>6. Data sources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Data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Source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for</w:t>
            </w:r>
          </w:p>
        </w:tc>
      </w:tr>
      <w:tr>
        <w:tc>
          <w:tcPr>
            <w:tcW w:type="dxa" w:w="2880"/>
          </w:tcPr>
          <w:p>
            <w:r>
              <w:t>Stock &amp; ETF prices (monthly, dividend-adjusted)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Momentum signal, returns</w:t>
            </w:r>
          </w:p>
        </w:tc>
      </w:tr>
      <w:tr>
        <w:tc>
          <w:tcPr>
            <w:tcW w:type="dxa" w:w="2880"/>
          </w:tcPr>
          <w:p>
            <w:r>
              <w:t>VIX index</w:t>
            </w:r>
          </w:p>
        </w:tc>
        <w:tc>
          <w:tcPr>
            <w:tcW w:type="dxa" w:w="2880"/>
          </w:tcPr>
          <w:p>
            <w:r>
              <w:t>yfinance (^VIX)</w:t>
            </w:r>
          </w:p>
        </w:tc>
        <w:tc>
          <w:tcPr>
            <w:tcW w:type="dxa" w:w="2880"/>
          </w:tcPr>
          <w:p>
            <w:r>
              <w:t>Macro overlay – volatility</w:t>
            </w:r>
          </w:p>
        </w:tc>
      </w:tr>
      <w:tr>
        <w:tc>
          <w:tcPr>
            <w:tcW w:type="dxa" w:w="2880"/>
          </w:tcPr>
          <w:p>
            <w:r>
              <w:t>IEF, HYG bond ETFs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Macro overlay – credit spread proxy</w:t>
            </w:r>
          </w:p>
        </w:tc>
      </w:tr>
      <w:tr>
        <w:tc>
          <w:tcPr>
            <w:tcW w:type="dxa" w:w="2880"/>
          </w:tcPr>
          <w:p>
            <w:r>
              <w:t>10-year Treasury yield (^TNX)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Macro overlay – rates</w:t>
            </w:r>
          </w:p>
        </w:tc>
      </w:tr>
      <w:tr>
        <w:tc>
          <w:tcPr>
            <w:tcW w:type="dxa" w:w="2880"/>
          </w:tcPr>
          <w:p>
            <w:r>
              <w:t>S&amp;P 500 index (^GSPC)</w:t>
            </w:r>
          </w:p>
        </w:tc>
        <w:tc>
          <w:tcPr>
            <w:tcW w:type="dxa" w:w="2880"/>
          </w:tcPr>
          <w:p>
            <w:r>
              <w:t>yfinance</w:t>
            </w:r>
          </w:p>
        </w:tc>
        <w:tc>
          <w:tcPr>
            <w:tcW w:type="dxa" w:w="2880"/>
          </w:tcPr>
          <w:p>
            <w:r>
              <w:t>Macro overlay – trend</w:t>
            </w:r>
          </w:p>
        </w:tc>
      </w:tr>
      <w:tr>
        <w:tc>
          <w:tcPr>
            <w:tcW w:type="dxa" w:w="2880"/>
          </w:tcPr>
          <w:p>
            <w:r>
              <w:t>Fama-French 5 factors + Momentum, risk-free rate</w:t>
            </w:r>
          </w:p>
        </w:tc>
        <w:tc>
          <w:tcPr>
            <w:tcW w:type="dxa" w:w="2880"/>
          </w:tcPr>
          <w:p>
            <w:r>
              <w:t>Ken French data library</w:t>
            </w:r>
          </w:p>
        </w:tc>
        <w:tc>
          <w:tcPr>
            <w:tcW w:type="dxa" w:w="2880"/>
          </w:tcPr>
          <w:p>
            <w:r>
              <w:t>Risk-free rate &amp; alpha test</w:t>
            </w:r>
          </w:p>
        </w:tc>
      </w:tr>
    </w:tbl>
    <w:p>
      <w:r>
        <w:rPr>
          <w:b w:val="0"/>
          <w:i/>
          <w:sz w:val="22"/>
        </w:rPr>
        <w:t>Note: credit and rates currently use ETF/price proxies; an institutional build would upgrade these to true high-yield spread and Treasury series (e.g. via Bloomberg).</w:t>
      </w:r>
    </w:p>
    <w:p>
      <w:pPr>
        <w:pStyle w:val="Heading1"/>
      </w:pPr>
      <w:r>
        <w:t>7. Headline results (simulated, 2002–2026, net of costs)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S1 Fund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S&amp;P 500 (SPY)</w:t>
            </w:r>
          </w:p>
        </w:tc>
      </w:tr>
      <w:tr>
        <w:tc>
          <w:tcPr>
            <w:tcW w:type="dxa" w:w="2880"/>
          </w:tcPr>
          <w:p>
            <w:r>
              <w:t>CAGR</w:t>
            </w:r>
          </w:p>
        </w:tc>
        <w:tc>
          <w:tcPr>
            <w:tcW w:type="dxa" w:w="2880"/>
          </w:tcPr>
          <w:p>
            <w:r>
              <w:t>16.1%</w:t>
            </w:r>
          </w:p>
        </w:tc>
        <w:tc>
          <w:tcPr>
            <w:tcW w:type="dxa" w:w="2880"/>
          </w:tcPr>
          <w:p>
            <w:r>
              <w:t>10.0%</w:t>
            </w:r>
          </w:p>
        </w:tc>
      </w:tr>
      <w:tr>
        <w:tc>
          <w:tcPr>
            <w:tcW w:type="dxa" w:w="2880"/>
          </w:tcPr>
          <w:p>
            <w:r>
              <w:t>Sharpe ratio</w:t>
            </w:r>
          </w:p>
        </w:tc>
        <w:tc>
          <w:tcPr>
            <w:tcW w:type="dxa" w:w="2880"/>
          </w:tcPr>
          <w:p>
            <w:r>
              <w:t>0.93</w:t>
            </w:r>
          </w:p>
        </w:tc>
        <w:tc>
          <w:tcPr>
            <w:tcW w:type="dxa" w:w="2880"/>
          </w:tcPr>
          <w:p>
            <w:r>
              <w:t>0.65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t>-28%</w:t>
            </w:r>
          </w:p>
        </w:tc>
        <w:tc>
          <w:tcPr>
            <w:tcW w:type="dxa" w:w="2880"/>
          </w:tcPr>
          <w:p>
            <w:r>
              <w:t>-51%</w:t>
            </w:r>
          </w:p>
        </w:tc>
      </w:tr>
      <w:tr>
        <w:tc>
          <w:tcPr>
            <w:tcW w:type="dxa" w:w="2880"/>
          </w:tcPr>
          <w:p>
            <w:r>
              <w:t>Alpha vs FF5+Momentum</w:t>
            </w:r>
          </w:p>
        </w:tc>
        <w:tc>
          <w:tcPr>
            <w:tcW w:type="dxa" w:w="2880"/>
          </w:tcPr>
          <w:p>
            <w:r>
              <w:t>+5.8% (t=3.1)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r>
        <w:rPr>
          <w:b w:val="0"/>
          <w:i/>
          <w:sz w:val="22"/>
        </w:rPr>
        <w:t>In plain terms: comparable-to-better return than the S&amp;P 500 at roughly half the drawdown, with statistically significant alpha after accounting for standard risk factors.</w:t>
      </w:r>
    </w:p>
    <w:p/>
    <w:p>
      <w:r>
        <w:rPr>
          <w:i/>
          <w:color w:val="888888"/>
          <w:sz w:val="16"/>
        </w:rPr>
        <w:t>Disclaimer: Fictional pitch for the ESADE Asset Management course. Not investment advice. All performance is simulated; past performance does not indicate future results. Universe uses current S&amp;P 500 constituents (survivorship bias disclosed).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