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GSD2T — Sector-Wide Strategy (Diversified Macro-Overlay)</w:t>
      </w:r>
    </w:p>
    <w:p>
      <w:r>
        <w:rPr>
          <w:i/>
          <w:color w:val="555555"/>
          <w:sz w:val="22"/>
        </w:rPr>
        <w:t>Team brief · ESADE Asset Management · The diversified flagship</w:t>
      </w:r>
    </w:p>
    <w:p>
      <w:r>
        <w:rPr>
          <w:i/>
          <w:color w:val="888888"/>
          <w:sz w:val="18"/>
        </w:rPr>
        <w:t>All performance is SIMULATED (2002–2026), net of 15bps trading costs, GROSS of fund fees. The fund is fictional.</w:t>
      </w:r>
    </w:p>
    <w:p>
      <w:pPr>
        <w:pStyle w:val="Heading1"/>
      </w:pPr>
      <w:r>
        <w:t>1. The strategy in one paragraph</w:t>
      </w:r>
    </w:p>
    <w:p>
      <w:r>
        <w:rPr>
          <w:b w:val="0"/>
          <w:i w:val="0"/>
          <w:sz w:val="22"/>
        </w:rPr>
        <w:t>We buy the strongest-performing stocks across the WHOLE S&amp;P 500 (all 11 sectors), then use a simple macroeconomic “risk dial” to decide how much to hold in stocks versus cash. It is the same engine as our tech strategy, applied to a diversified universe. The result: broad-market beating, risk-adjusted returns from a portfolio that is genuinely diversified — not a sector bet — with strong downside protection in every major crisis.</w:t>
      </w:r>
    </w:p>
    <w:p>
      <w:pPr>
        <w:pStyle w:val="Heading1"/>
      </w:pPr>
      <w:r>
        <w:t>2. How it works — two layers</w:t>
      </w:r>
    </w:p>
    <w:p>
      <w:pPr>
        <w:pStyle w:val="ListBullet"/>
      </w:pPr>
      <w:r>
        <w:t>Layer 1 – Stock selection: pick the strongest stocks by 12-month price momentum, across all sectors.</w:t>
      </w:r>
    </w:p>
    <w:p>
      <w:pPr>
        <w:pStyle w:val="ListBullet"/>
      </w:pPr>
      <w:r>
        <w:t>Layer 2 – Macro overlay: a 4-factor “risk dial” scales total exposure between 30% and 100% (rest in cash).</w:t>
      </w:r>
    </w:p>
    <w:p>
      <w:r>
        <w:rPr>
          <w:b w:val="0"/>
          <w:i/>
          <w:sz w:val="22"/>
        </w:rPr>
        <w:t>Position per stock = (equal weight within the chosen stocks) × (macro exposure level).</w:t>
      </w:r>
    </w:p>
    <w:p>
      <w:pPr>
        <w:pStyle w:val="Heading1"/>
      </w:pPr>
      <w:r>
        <w:t>3. Layer 1 — Stock selection (momentum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Universe</w:t>
            </w:r>
          </w:p>
        </w:tc>
        <w:tc>
          <w:tcPr>
            <w:tcW w:type="dxa" w:w="4320"/>
          </w:tcPr>
          <w:p>
            <w:r>
              <w:t>Full S&amp;P 500 — all 11 sectors (~500 stocks)</w:t>
            </w:r>
          </w:p>
        </w:tc>
      </w:tr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12-minus-1 month price momentum</w:t>
            </w:r>
          </w:p>
        </w:tc>
      </w:tr>
      <w:tr>
        <w:tc>
          <w:tcPr>
            <w:tcW w:type="dxa" w:w="4320"/>
          </w:tcPr>
          <w:p>
            <w:r>
              <w:t>How computed</w:t>
            </w:r>
          </w:p>
        </w:tc>
        <w:tc>
          <w:tcPr>
            <w:tcW w:type="dxa" w:w="4320"/>
          </w:tcPr>
          <w:p>
            <w:r>
              <w:t>Total return over the last 12 months, excluding the most recent month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Each stock z-scored against the universe each month</w:t>
            </w:r>
          </w:p>
        </w:tc>
      </w:tr>
      <w:tr>
        <w:tc>
          <w:tcPr>
            <w:tcW w:type="dxa" w:w="4320"/>
          </w:tcPr>
          <w:p>
            <w:r>
              <w:t>Selection</w:t>
            </w:r>
          </w:p>
        </w:tc>
        <w:tc>
          <w:tcPr>
            <w:tcW w:type="dxa" w:w="4320"/>
          </w:tcPr>
          <w:p>
            <w:r>
              <w:t>Hold the top quartile — currently 126 stocks across 11 sectors</w:t>
            </w:r>
          </w:p>
        </w:tc>
      </w:tr>
      <w:tr>
        <w:tc>
          <w:tcPr>
            <w:tcW w:type="dxa" w:w="4320"/>
          </w:tcPr>
          <w:p>
            <w:r>
              <w:t>Weighting</w:t>
            </w:r>
          </w:p>
        </w:tc>
        <w:tc>
          <w:tcPr>
            <w:tcW w:type="dxa" w:w="4320"/>
          </w:tcPr>
          <w:p>
            <w:r>
              <w:t>Equal weight within the selected stocks</w:t>
            </w:r>
          </w:p>
        </w:tc>
      </w:tr>
    </w:tbl>
    <w:p>
      <w:pPr>
        <w:pStyle w:val="Heading1"/>
      </w:pPr>
      <w:r>
        <w:t>4. Layer 2 — The macro overlay (4 factors)</w:t>
      </w:r>
    </w:p>
    <w:p>
      <w:r>
        <w:rPr>
          <w:b w:val="0"/>
          <w:i w:val="0"/>
          <w:sz w:val="22"/>
        </w:rPr>
        <w:t>Four economically-motivated signals, each z-scored over a rolling 5-year window, averaged into one composite “risk score”. Three are stress signals (turn risk down); one is trend (turn risk 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Macro 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Captures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Direction</w:t>
            </w:r>
          </w:p>
        </w:tc>
      </w:tr>
      <w:tr>
        <w:tc>
          <w:tcPr>
            <w:tcW w:type="dxa" w:w="2160"/>
          </w:tcPr>
          <w:p>
            <w:r>
              <w:t>VIX</w:t>
            </w:r>
          </w:p>
        </w:tc>
        <w:tc>
          <w:tcPr>
            <w:tcW w:type="dxa" w:w="2160"/>
          </w:tcPr>
          <w:p>
            <w:r>
              <w:t>Equity fear / volatility</w:t>
            </w:r>
          </w:p>
        </w:tc>
        <w:tc>
          <w:tcPr>
            <w:tcW w:type="dxa" w:w="2160"/>
          </w:tcPr>
          <w:p>
            <w:r>
              <w:t>CBOE VIX</w:t>
            </w:r>
          </w:p>
        </w:tc>
        <w:tc>
          <w:tcPr>
            <w:tcW w:type="dxa" w:w="2160"/>
          </w:tcPr>
          <w:p>
            <w:r>
              <w:t>High → de-risk</w:t>
            </w:r>
          </w:p>
        </w:tc>
      </w:tr>
      <w:tr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Credit stress</w:t>
            </w:r>
          </w:p>
        </w:tc>
        <w:tc>
          <w:tcPr>
            <w:tcW w:type="dxa" w:w="2160"/>
          </w:tcPr>
          <w:p>
            <w:r>
              <w:t>IEF vs HYG ETFs</w:t>
            </w:r>
          </w:p>
        </w:tc>
        <w:tc>
          <w:tcPr>
            <w:tcW w:type="dxa" w:w="2160"/>
          </w:tcPr>
          <w:p>
            <w:r>
              <w:t>Widening → de-risk</w:t>
            </w:r>
          </w:p>
        </w:tc>
      </w:tr>
      <w:tr>
        <w:tc>
          <w:tcPr>
            <w:tcW w:type="dxa" w:w="2160"/>
          </w:tcPr>
          <w:p>
            <w:r>
              <w:t>Yield</w:t>
            </w:r>
          </w:p>
        </w:tc>
        <w:tc>
          <w:tcPr>
            <w:tcW w:type="dxa" w:w="2160"/>
          </w:tcPr>
          <w:p>
            <w:r>
              <w:t>Rate tightening</w:t>
            </w:r>
          </w:p>
        </w:tc>
        <w:tc>
          <w:tcPr>
            <w:tcW w:type="dxa" w:w="2160"/>
          </w:tcPr>
          <w:p>
            <w:r>
              <w:t>10-year Treasury yield</w:t>
            </w:r>
          </w:p>
        </w:tc>
        <w:tc>
          <w:tcPr>
            <w:tcW w:type="dxa" w:w="2160"/>
          </w:tcPr>
          <w:p>
            <w:r>
              <w:t>Rising → de-risk</w:t>
            </w:r>
          </w:p>
        </w:tc>
      </w:tr>
      <w:tr>
        <w:tc>
          <w:tcPr>
            <w:tcW w:type="dxa" w:w="2160"/>
          </w:tcPr>
          <w:p>
            <w:r>
              <w:t>Trend</w:t>
            </w:r>
          </w:p>
        </w:tc>
        <w:tc>
          <w:tcPr>
            <w:tcW w:type="dxa" w:w="2160"/>
          </w:tcPr>
          <w:p>
            <w:r>
              <w:t>Market momentum</w:t>
            </w:r>
          </w:p>
        </w:tc>
        <w:tc>
          <w:tcPr>
            <w:tcW w:type="dxa" w:w="2160"/>
          </w:tcPr>
          <w:p>
            <w:r>
              <w:t>S&amp;P 500 index</w:t>
            </w:r>
          </w:p>
        </w:tc>
        <w:tc>
          <w:tcPr>
            <w:tcW w:type="dxa" w:w="2160"/>
          </w:tcPr>
          <w:p>
            <w:r>
              <w:t>Up → risk-on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 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Stock exposure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Cash</w:t>
            </w:r>
          </w:p>
        </w:tc>
      </w:tr>
      <w:tr>
        <w:tc>
          <w:tcPr>
            <w:tcW w:type="dxa" w:w="2880"/>
          </w:tcPr>
          <w:p>
            <w:r>
              <w:t>+2 calm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0 neutral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−2 stress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</w:tbl>
    <w:p>
      <w:pPr>
        <w:pStyle w:val="Heading1"/>
      </w:pPr>
      <w:r>
        <w:t>5. Weighting</w:t>
      </w:r>
    </w:p>
    <w:p>
      <w:r>
        <w:rPr>
          <w:b/>
          <w:i w:val="0"/>
          <w:sz w:val="22"/>
        </w:rPr>
        <w:t>Weight per stock = (1 / number held) × macro exposure.</w:t>
      </w:r>
    </w:p>
    <w:p>
      <w:pPr>
        <w:pStyle w:val="ListBullet"/>
      </w:pPr>
      <w:r>
        <w:t>Currently 126 stocks held; equal-weight → each ~0.8% at full exposure (built-in ~1% single-name cap).</w:t>
      </w:r>
    </w:p>
    <w:p>
      <w:pPr>
        <w:pStyle w:val="ListBullet"/>
      </w:pPr>
      <w:r>
        <w:t>No leverage, no shorting; rebalanced monthly; 15 bps round-trip trading cost.</w:t>
      </w:r>
    </w:p>
    <w:p>
      <w:r>
        <w:rPr>
          <w:b w:val="0"/>
          <w:i/>
          <w:sz w:val="22"/>
        </w:rPr>
        <w:t>Current sector spread of the book (diversified, not a tech bet):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Sector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# stocks</w:t>
            </w:r>
          </w:p>
        </w:tc>
      </w:tr>
      <w:tr>
        <w:tc>
          <w:tcPr>
            <w:tcW w:type="dxa" w:w="4320"/>
          </w:tcPr>
          <w:p>
            <w:r>
              <w:t>Information Technology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Industrials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Financials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Health Care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Consumer Discretionary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Communication Services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Consumer Staples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Real Estate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6.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Stock prices (monthly, adjusted)</w:t>
            </w:r>
          </w:p>
        </w:tc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2880"/>
          </w:tcPr>
          <w:p>
            <w:r>
              <w:t>Momentum, returns</w:t>
            </w:r>
          </w:p>
        </w:tc>
      </w:tr>
      <w:tr>
        <w:tc>
          <w:tcPr>
            <w:tcW w:type="dxa" w:w="2880"/>
          </w:tcPr>
          <w:p>
            <w:r>
              <w:t>VIX, IEF, HYG, 10Y yield, S&amp;P 500</w:t>
            </w:r>
          </w:p>
        </w:tc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2880"/>
          </w:tcPr>
          <w:p>
            <w:r>
              <w:t>Macro overlay</w:t>
            </w:r>
          </w:p>
        </w:tc>
      </w:tr>
      <w:tr>
        <w:tc>
          <w:tcPr>
            <w:tcW w:type="dxa" w:w="2880"/>
          </w:tcPr>
          <w:p>
            <w:r>
              <w:t>Fama-French 5 + Momentum, risk-free</w:t>
            </w:r>
          </w:p>
        </w:tc>
        <w:tc>
          <w:tcPr>
            <w:tcW w:type="dxa" w:w="2880"/>
          </w:tcPr>
          <w:p>
            <w:r>
              <w:t>Ken French library</w:t>
            </w:r>
          </w:p>
        </w:tc>
        <w:tc>
          <w:tcPr>
            <w:tcW w:type="dxa" w:w="2880"/>
          </w:tcPr>
          <w:p>
            <w:r>
              <w:t>Risk-free &amp; alpha test</w:t>
            </w:r>
          </w:p>
        </w:tc>
      </w:tr>
    </w:tbl>
    <w:p>
      <w:pPr>
        <w:pStyle w:val="Heading1"/>
      </w:pPr>
      <w:r>
        <w:t>7. Results (simulated, 2002–2026, net of trading costs)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Sector-Wide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S&amp;P 500 (SPY)</w:t>
            </w:r>
          </w:p>
        </w:tc>
      </w:tr>
      <w:tr>
        <w:tc>
          <w:tcPr>
            <w:tcW w:type="dxa" w:w="2880"/>
          </w:tcPr>
          <w:p>
            <w:r>
              <w:t>CAGR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Sharpe ratio</w:t>
            </w:r>
          </w:p>
        </w:tc>
        <w:tc>
          <w:tcPr>
            <w:tcW w:type="dxa" w:w="2880"/>
          </w:tcPr>
          <w:p>
            <w:r>
              <w:t>1.03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</w:tr>
      <w:tr>
        <w:tc>
          <w:tcPr>
            <w:tcW w:type="dxa" w:w="2880"/>
          </w:tcPr>
          <w:p>
            <w:r>
              <w:t>Max drawdown</w:t>
            </w:r>
          </w:p>
        </w:tc>
        <w:tc>
          <w:tcPr>
            <w:tcW w:type="dxa" w:w="2880"/>
          </w:tcPr>
          <w:p>
            <w:r>
              <w:t>-26%</w:t>
            </w:r>
          </w:p>
        </w:tc>
        <w:tc>
          <w:tcPr>
            <w:tcW w:type="dxa" w:w="2880"/>
          </w:tcPr>
          <w:p>
            <w:r>
              <w:t>-51%</w:t>
            </w:r>
          </w:p>
        </w:tc>
      </w:tr>
      <w:tr>
        <w:tc>
          <w:tcPr>
            <w:tcW w:type="dxa" w:w="2880"/>
          </w:tcPr>
          <w:p>
            <w:r>
              <w:t>Alpha vs FF5+Momentum</w:t>
            </w:r>
          </w:p>
        </w:tc>
        <w:tc>
          <w:tcPr>
            <w:tcW w:type="dxa" w:w="2880"/>
          </w:tcPr>
          <w:p>
            <w:r>
              <w:t>+3.7% (t=3.9)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Capacity vs $100M raise</w:t>
            </w:r>
          </w:p>
        </w:tc>
        <w:tc>
          <w:tcPr>
            <w:tcW w:type="dxa" w:w="2880"/>
          </w:tcPr>
          <w:p>
            <w:r>
              <w:t>$3-6B (33-56x headroom)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 w:val="0"/>
          <w:i/>
          <w:sz w:val="22"/>
        </w:rPr>
        <w:t>It generalises: the same engine gives a ~1.0 Sharpe with significant alpha on the tech universe (0.93) and even the Dow Jones 30 (0.99) — strong evidence it is a real effect, not a tech bet.</w:t>
      </w:r>
    </w:p>
    <w:p>
      <w:r>
        <w:rPr>
          <w:b w:val="0"/>
          <w:i/>
          <w:sz w:val="22"/>
        </w:rPr>
        <w:t>On the $100M commitment we are raising, the strategy runs at roughly 2% of capacity — 33-56x headroom. We can deploy the full $100M immediately in daily-liquid large-caps and never need to soft-close early.</w:t>
      </w:r>
    </w:p>
    <w:p>
      <w:pPr>
        <w:pStyle w:val="Heading1"/>
      </w:pPr>
      <w:r>
        <w:t>8. Fund terms (aligned with our liquidity)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we charge</w:t>
            </w:r>
          </w:p>
        </w:tc>
      </w:tr>
      <w:tr>
        <w:tc>
          <w:tcPr>
            <w:tcW w:type="dxa" w:w="4320"/>
          </w:tcPr>
          <w:p>
            <w:r>
              <w:t>Management fee</w:t>
            </w:r>
          </w:p>
        </w:tc>
        <w:tc>
          <w:tcPr>
            <w:tcW w:type="dxa" w:w="4320"/>
          </w:tcPr>
          <w:p>
            <w:r>
              <w:t>1.0% per annum (accrued monthly)</w:t>
            </w:r>
          </w:p>
        </w:tc>
      </w:tr>
      <w:tr>
        <w:tc>
          <w:tcPr>
            <w:tcW w:type="dxa" w:w="4320"/>
          </w:tcPr>
          <w:p>
            <w:r>
              <w:t>Performance fee</w:t>
            </w:r>
          </w:p>
        </w:tc>
        <w:tc>
          <w:tcPr>
            <w:tcW w:type="dxa" w:w="4320"/>
          </w:tcPr>
          <w:p>
            <w:r>
              <w:t>15% of returns above the S&amp;P 500 (SPY)</w:t>
            </w:r>
          </w:p>
        </w:tc>
      </w:tr>
      <w:tr>
        <w:tc>
          <w:tcPr>
            <w:tcW w:type="dxa" w:w="4320"/>
          </w:tcPr>
          <w:p>
            <w:r>
              <w:t>High-water mark</w:t>
            </w:r>
          </w:p>
        </w:tc>
        <w:tc>
          <w:tcPr>
            <w:tcW w:type="dxa" w:w="4320"/>
          </w:tcPr>
          <w:p>
            <w:r>
              <w:t>Yes (relative; only charged on new highs vs benchmark)</w:t>
            </w:r>
          </w:p>
        </w:tc>
      </w:tr>
      <w:tr>
        <w:tc>
          <w:tcPr>
            <w:tcW w:type="dxa" w:w="4320"/>
          </w:tcPr>
          <w:p>
            <w:r>
              <w:t>Crystallisation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Liquidity</w:t>
            </w:r>
          </w:p>
        </w:tc>
        <w:tc>
          <w:tcPr>
            <w:tcW w:type="dxa" w:w="4320"/>
          </w:tcPr>
          <w:p>
            <w:r>
              <w:t>Monthly, no lockup</w:t>
            </w:r>
          </w:p>
        </w:tc>
      </w:tr>
    </w:tbl>
    <w:p>
      <w:r>
        <w:rPr>
          <w:b w:val="0"/>
          <w:i/>
          <w:sz w:val="22"/>
        </w:rPr>
        <w:t>Why not 2/20: the strategy is daily-liquid and partly factor-replicable, so we charge below hedge-fund terms and the performance fee applies ONLY to returns above the S&amp;P 500 — we do not charge an alpha fee on market beta you can buy for 5 bps, and the high-water mark means we only get paid on new highs versus the benchmark.</w:t>
      </w:r>
    </w:p>
    <w:p>
      <w:r>
        <w:rPr>
          <w:b/>
          <w:i w:val="0"/>
          <w:sz w:val="22"/>
        </w:rPr>
        <w:t>What the investor actually receives (simulated, net of all fees):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CAGR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Sharpe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Max drawdown</w:t>
            </w:r>
          </w:p>
        </w:tc>
      </w:tr>
      <w:tr>
        <w:tc>
          <w:tcPr>
            <w:tcW w:type="dxa" w:w="2160"/>
          </w:tcPr>
          <w:p>
            <w:r>
              <w:t>Gross strategy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  <w:tc>
          <w:tcPr>
            <w:tcW w:type="dxa" w:w="2160"/>
          </w:tcPr>
          <w:p>
            <w:r>
              <w:t>-26%</w:t>
            </w:r>
          </w:p>
        </w:tc>
      </w:tr>
      <w:tr>
        <w:tc>
          <w:tcPr>
            <w:tcW w:type="dxa" w:w="2160"/>
          </w:tcPr>
          <w:p>
            <w:r>
              <w:t>NET to investor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  <w:tr>
        <w:tc>
          <w:tcPr>
            <w:tcW w:type="dxa" w:w="2160"/>
          </w:tcPr>
          <w:p>
            <w:r>
              <w:t>S&amp;P 500 (SPY)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-51%</w:t>
            </w:r>
          </w:p>
        </w:tc>
      </w:tr>
    </w:tbl>
    <w:p>
      <w:r>
        <w:rPr>
          <w:b w:val="0"/>
          <w:i/>
          <w:sz w:val="22"/>
        </w:rPr>
        <w:t>After all fees the client still beats the S&amp;P 500 (10.7% vs 10.0%), but the real value is risk: Sharpe 0.90 vs 0.65 and a -30% drawdown versus -51%. We are paid for risk-adjusted outperformance, not raw return.</w:t>
      </w:r>
    </w:p>
    <w:p>
      <w:pPr>
        <w:pStyle w:val="Heading1"/>
      </w:pPr>
      <w:r>
        <w:t>9. Honest notes (for the team)</w:t>
      </w:r>
    </w:p>
    <w:p>
      <w:pPr>
        <w:pStyle w:val="ListBullet"/>
      </w:pPr>
      <w:r>
        <w:t>Returns are NET of trading costs but GROSS of fund management/performance fees and taxes; investor net is lower once we set fees.</w:t>
      </w:r>
    </w:p>
    <w:p>
      <w:pPr>
        <w:pStyle w:val="ListBullet"/>
      </w:pPr>
      <w:r>
        <w:t>In-sample Sharpe 0.98, out-of-sample 1.09; parameter-robust (0.97–1.04 across 15 settings).</w:t>
      </w:r>
    </w:p>
    <w:p>
      <w:pPr>
        <w:pStyle w:val="ListBullet"/>
      </w:pPr>
      <w:r>
        <w:t>2019–2024 was a mega-cap-growth 'factor drought': out-of-sample we preserved capital and kept pace at lower risk, but the factor alpha compressed industry-wide. We disclose this.</w:t>
      </w:r>
    </w:p>
    <w:p>
      <w:pPr>
        <w:pStyle w:val="ListBullet"/>
      </w:pPr>
      <w:r>
        <w:t>Universe uses current S&amp;P 500 constituents (survivorship bias disclosed, not yet corrected).</w:t>
      </w:r>
    </w:p>
    <w:p>
      <w:r>
        <w:rPr>
          <w:i/>
          <w:color w:val="888888"/>
          <w:sz w:val="16"/>
        </w:rPr>
        <w:t>Disclaimer: Fictional pitch for the ESADE Asset Management course. Not investment advice. All performance is simulated; past performance does not indicate future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