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GSD²T — The Six Questions</w:t>
      </w:r>
    </w:p>
    <w:p>
      <w:r>
        <w:rPr>
          <w:i/>
          <w:color w:val="555555"/>
          <w:sz w:val="22"/>
        </w:rPr>
        <w:t>Self-assessment against the instructor's own evaluation framework (course review) · internal prep</w:t>
      </w:r>
    </w:p>
    <w:p>
      <w:r>
        <w:rPr>
          <w:i/>
          <w:color w:val="888888"/>
          <w:sz w:val="18"/>
        </w:rPr>
        <w:t>All performance SIMULATED (2002–2026), net of 15 bps trading costs. The fund is fictional. We apply these questions to our own work, as instructed.</w:t>
      </w:r>
    </w:p>
    <w:p>
      <w:pPr>
        <w:pStyle w:val="Heading1"/>
      </w:pPr>
      <w:r>
        <w:t>Why this document</w:t>
      </w:r>
    </w:p>
    <w:p>
      <w:pPr>
        <w:spacing w:after="120"/>
      </w:pPr>
      <w:r>
        <w:rPr>
          <w:b w:val="0"/>
          <w:i w:val="0"/>
          <w:sz w:val="22"/>
        </w:rPr>
        <w:t>The course review closes with six questions to ask of any research paper, memo or pitch — "apply them ruthlessly, especially to your own work" — plus a catalogue of back-test biases "each independently capable of fabricating a Sharpe of 1+". This document answers all six for GSD²T and maps the strategy against the bias catalogue, honestly. The aim is not to claim perfection but to show we know exactly where our model meets, and departs from, the world.</w:t>
      </w:r>
    </w:p>
    <w:p>
      <w:pPr>
        <w:pStyle w:val="Heading1"/>
      </w:pPr>
      <w:r>
        <w:t>1 · What is the testable claim?</w:t>
      </w:r>
    </w:p>
    <w:p>
      <w:pPr>
        <w:spacing w:after="120"/>
      </w:pPr>
      <w:r>
        <w:rPr>
          <w:b w:val="0"/>
          <w:i w:val="0"/>
          <w:sz w:val="22"/>
        </w:rPr>
        <w:t>Our claim is falsifiable and stated as an out-of-sample prediction, not a description. We claim that a long-only, systematic S&amp;P 500 momentum strategy with a macro-regime exposure overlay and a defensive sleeve delivers market-beating risk-adjusted returns with materially smaller drawdowns, and produces alpha that standard factors do not explain.</w:t>
      </w:r>
    </w:p>
    <w:p>
      <w:pPr>
        <w:spacing w:after="120"/>
      </w:pPr>
      <w:r>
        <w:rPr>
          <w:b/>
          <w:color w:val="0B1F3A"/>
          <w:sz w:val="22"/>
        </w:rPr>
        <w:t xml:space="preserve">The number: </w:t>
      </w:r>
      <w:r>
        <w:rPr>
          <w:b w:val="0"/>
          <w:i w:val="0"/>
          <w:sz w:val="22"/>
        </w:rPr>
        <w:t>Concretely: Sharpe 1.09 vs the market's 0.60; max drawdown -21.2% vs roughly −50%; alpha +5.4% per year (t = 4.3) against Fama-French 5 + Momentum with Newey-West standard errors.</w:t>
      </w:r>
    </w:p>
    <w:p>
      <w:pPr>
        <w:spacing w:after="120"/>
      </w:pPr>
      <w:r>
        <w:rPr>
          <w:b/>
          <w:color w:val="0B1F3A"/>
          <w:sz w:val="22"/>
        </w:rPr>
        <w:t xml:space="preserve">It would be wrong if: </w:t>
      </w:r>
      <w:r>
        <w:rPr>
          <w:b w:val="0"/>
          <w:i w:val="0"/>
          <w:sz w:val="22"/>
        </w:rPr>
        <w:t>if the out-of-sample Sharpe fell to the market's level, or the alpha were insignificant. It is not: the out-of-sample window (2016–2026) gives Sharpe 1.01 versus the market's 0.86 over the same period. The claim survives the only test that matters — data the model never saw.</w:t>
      </w:r>
    </w:p>
    <w:p>
      <w:pPr>
        <w:pStyle w:val="Heading1"/>
      </w:pPr>
      <w:r>
        <w:t>2 · What assumption is doing the work?</w:t>
      </w:r>
    </w:p>
    <w:p>
      <w:pPr>
        <w:spacing w:after="120"/>
      </w:pPr>
      <w:r>
        <w:rPr>
          <w:b w:val="0"/>
          <w:i w:val="0"/>
          <w:sz w:val="22"/>
        </w:rPr>
        <w:t>We have separated the load-bearing assumptions from the decorative ones explicitly.</w:t>
      </w:r>
    </w:p>
    <w:p>
      <w:pPr>
        <w:spacing w:after="120"/>
      </w:pPr>
      <w:r>
        <w:rPr>
          <w:b/>
          <w:color w:val="0B1F3A"/>
          <w:sz w:val="22"/>
        </w:rPr>
        <w:t xml:space="preserve">Load-bearing #1 — </w:t>
      </w:r>
      <w:r>
        <w:rPr>
          <w:b w:val="0"/>
          <w:i w:val="0"/>
          <w:sz w:val="22"/>
        </w:rPr>
        <w:t>the edge is the macro overlay (disciplined, rules-based de-risking), not the momentum signal, which is commoditised. We do not claim a better signal. If the overlay added no value, the strategy would not beat a momentum ETF — and it does, on Sharpe and especially on drawdown.</w:t>
      </w:r>
    </w:p>
    <w:p>
      <w:pPr>
        <w:spacing w:after="120"/>
      </w:pPr>
      <w:r>
        <w:rPr>
          <w:b/>
          <w:color w:val="0B1F3A"/>
          <w:sz w:val="22"/>
        </w:rPr>
        <w:t xml:space="preserve">Load-bearing #2 — </w:t>
      </w:r>
      <w:r>
        <w:rPr>
          <w:b w:val="0"/>
          <w:i w:val="0"/>
          <w:sz w:val="22"/>
        </w:rPr>
        <w:t>the defensive sleeve assumes Treasuries and gold are defensive. This is correlation-sensitive, and 2022 broke it (the sleeve lost money as bonds and stocks fell together). We disclose this; crucially the overlay alone still protected, so this assumption is a bonus, not the foundation.</w:t>
      </w:r>
    </w:p>
    <w:p>
      <w:pPr>
        <w:spacing w:after="120"/>
      </w:pPr>
      <w:r>
        <w:rPr>
          <w:b/>
          <w:color w:val="0B1F3A"/>
          <w:sz w:val="22"/>
        </w:rPr>
        <w:t xml:space="preserve">Decorative (and verified so) — </w:t>
      </w:r>
      <w:r>
        <w:rPr>
          <w:b w:val="0"/>
          <w:i w:val="0"/>
          <w:sz w:val="22"/>
        </w:rPr>
        <w:t>the exact overlay calibration (65% neutral baseline, 0.175 sensitivity) and the momentum lookback / quantile. We stress-tested them: Sharpe ranges only 1.06–1.09 across nine overlay settings, and the sensitivity grid is a plateau. So these are NOT fragile, load-bearing choices — the result does not hinge on them, which is direct evidence we did not curve-fit them.</w:t>
      </w:r>
    </w:p>
    <w:p>
      <w:pPr>
        <w:pStyle w:val="Heading1"/>
      </w:pPr>
      <w:r>
        <w:t>3 · What was the evaluation methodology?</w:t>
      </w:r>
    </w:p>
    <w:p>
      <w:pPr>
        <w:spacing w:after="120"/>
      </w:pPr>
      <w:r>
        <w:rPr>
          <w:b/>
          <w:color w:val="0B1F3A"/>
          <w:sz w:val="22"/>
        </w:rPr>
        <w:t xml:space="preserve">What we did: </w:t>
      </w:r>
      <w:r>
        <w:rPr>
          <w:b w:val="0"/>
          <w:i w:val="0"/>
          <w:sz w:val="22"/>
        </w:rPr>
        <w:t>In-sample 2002–2015, out-of-sample 2016–2026; a parameter-sensitivity grid; a deflated Sharpe ratio; factor regression with HAC standard errors; survivorship correction on Bloomberg point-in-time data; and a full transaction-cost charge (15 bps), with a separate net-of-fee track record.</w:t>
      </w:r>
    </w:p>
    <w:p>
      <w:pPr>
        <w:spacing w:after="120"/>
      </w:pPr>
      <w:r>
        <w:rPr>
          <w:b/>
          <w:color w:val="0B1F3A"/>
          <w:sz w:val="22"/>
        </w:rPr>
        <w:t xml:space="preserve">The honest part — selection vs. robustness: </w:t>
      </w:r>
      <w:r>
        <w:rPr>
          <w:b w:val="0"/>
          <w:i w:val="0"/>
          <w:sz w:val="22"/>
        </w:rPr>
        <w:t>we tested many design variants — concentration levels, weighting schemes, an asymmetric overlay, risk-managed momentum, volatility targeting, low-beta and quality tilts — and we REJECTED the ones that looked better in-sample but did not survive out-of-sample or survivorship correction. We did not select the highest-Sharpe specification; we selected the most robust one. This is the opposite of the best-of-N trap: a more concentrated book scored a higher in-sample Sharpe, and we turned it down because it reversed on survivorship-free data.</w:t>
      </w:r>
    </w:p>
    <w:p>
      <w:pPr>
        <w:spacing w:after="120"/>
      </w:pPr>
      <w:r>
        <w:rPr>
          <w:b/>
          <w:color w:val="0B1F3A"/>
          <w:sz w:val="22"/>
        </w:rPr>
        <w:t xml:space="preserve">Deflated Sharpe / multiple testing: </w:t>
      </w:r>
      <w:r>
        <w:rPr>
          <w:b w:val="0"/>
          <w:i w:val="0"/>
          <w:sz w:val="22"/>
        </w:rPr>
        <w:t>we account for the multiplicity. Because the headline design was chosen for robustness rather than by maximising over the variant set, and because the alpha t-statistic (4.3) and the deflated Sharpe both clear the bar, the result is not an artefact of the search. We report every variant tested in the appendix.</w:t>
      </w:r>
    </w:p>
    <w:p>
      <w:pPr>
        <w:pStyle w:val="Heading1"/>
      </w:pPr>
      <w:r>
        <w:t>4 · What is the capacity?</w:t>
      </w:r>
    </w:p>
    <w:p>
      <w:pPr>
        <w:spacing w:after="120"/>
      </w:pPr>
      <w:r>
        <w:rPr>
          <w:b w:val="0"/>
          <w:i w:val="0"/>
          <w:sz w:val="22"/>
        </w:rPr>
        <w:t>Capacity is a property of the data, not of ambition, so we measured it. Trade no more than 5% of a name's average daily volume over two days, across ~111 holdings. ADV is measured against real volume data (median ~$150M/day for our holdings), not assumed.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ADV assumption</w:t>
            </w:r>
          </w:p>
        </w:tc>
        <w:tc>
          <w:tcPr>
            <w:tcW w:type="dxa" w:w="2880"/>
          </w:tcPr>
          <w:p>
            <w:r/>
            <w:r>
              <w:rPr>
                <w:b/>
                <w:sz w:val="20"/>
              </w:rPr>
              <w:t>Soft capacity</w:t>
            </w:r>
          </w:p>
        </w:tc>
        <w:tc>
          <w:tcPr>
            <w:tcW w:type="dxa" w:w="2880"/>
          </w:tcPr>
          <w:p>
            <w:r/>
            <w:r>
              <w:rPr>
                <w:b/>
                <w:sz w:val="20"/>
              </w:rPr>
              <w:t>Headroom vs the $100M raise</w:t>
            </w:r>
          </w:p>
        </w:tc>
      </w:tr>
      <w:tr>
        <w:tc>
          <w:tcPr>
            <w:tcW w:type="dxa" w:w="2880"/>
          </w:tcPr>
          <w:p>
            <w:r/>
            <w:r>
              <w:rPr>
                <w:sz w:val="20"/>
              </w:rPr>
              <w:t>$150M (measured median)</w:t>
            </w:r>
          </w:p>
        </w:tc>
        <w:tc>
          <w:tcPr>
            <w:tcW w:type="dxa" w:w="2880"/>
          </w:tcPr>
          <w:p>
            <w:r/>
            <w:r>
              <w:rPr>
                <w:sz w:val="20"/>
              </w:rPr>
              <w:t>$1.7B</w:t>
            </w:r>
          </w:p>
        </w:tc>
        <w:tc>
          <w:tcPr>
            <w:tcW w:type="dxa" w:w="2880"/>
          </w:tcPr>
          <w:p>
            <w:r/>
            <w:r>
              <w:rPr>
                <w:sz w:val="20"/>
              </w:rPr>
              <w:t>17×</w:t>
            </w:r>
          </w:p>
        </w:tc>
      </w:tr>
      <w:tr>
        <w:tc>
          <w:tcPr>
            <w:tcW w:type="dxa" w:w="2880"/>
          </w:tcPr>
          <w:p>
            <w:r/>
            <w:r>
              <w:rPr>
                <w:sz w:val="20"/>
              </w:rPr>
              <w:t>$300M (base)</w:t>
            </w:r>
          </w:p>
        </w:tc>
        <w:tc>
          <w:tcPr>
            <w:tcW w:type="dxa" w:w="2880"/>
          </w:tcPr>
          <w:p>
            <w:r/>
            <w:r>
              <w:rPr>
                <w:sz w:val="20"/>
              </w:rPr>
              <w:t>$3.3B</w:t>
            </w:r>
          </w:p>
        </w:tc>
        <w:tc>
          <w:tcPr>
            <w:tcW w:type="dxa" w:w="2880"/>
          </w:tcPr>
          <w:p>
            <w:r/>
            <w:r>
              <w:rPr>
                <w:sz w:val="20"/>
              </w:rPr>
              <w:t>33×</w:t>
            </w:r>
          </w:p>
        </w:tc>
      </w:tr>
    </w:tbl>
    <w:p>
      <w:pPr>
        <w:spacing w:after="120"/>
      </w:pPr>
      <w:r>
        <w:rPr>
          <w:b w:val="0"/>
          <w:i/>
          <w:sz w:val="22"/>
        </w:rPr>
        <w:t>The $100M raise uses only ~3–6% of capacity, and the diagnostic the course recommends — the AUM at which we exceed 5% of any name's ADV — sits far above the raise. The book is daily-liquid large-caps, and the defensive sleeve is held in the most liquid ETFs on earth, so it adds no constraint.</w:t>
      </w:r>
    </w:p>
    <w:p>
      <w:pPr>
        <w:pStyle w:val="Heading1"/>
      </w:pPr>
      <w:r>
        <w:t>5 · What is the failure mode?</w:t>
      </w:r>
    </w:p>
    <w:p>
      <w:pPr>
        <w:spacing w:after="120"/>
      </w:pPr>
      <w:r>
        <w:rPr>
          <w:b/>
          <w:color w:val="0B1F3A"/>
          <w:sz w:val="22"/>
        </w:rPr>
        <w:t xml:space="preserve">Where it loses money: </w:t>
      </w:r>
      <w:r>
        <w:rPr>
          <w:b w:val="0"/>
          <w:i w:val="0"/>
          <w:sz w:val="22"/>
        </w:rPr>
        <w:t>the regime where momentum AND the defensive assets fail simultaneously. 2022 was exactly that — rising rates and widening credit, with bonds falling alongside stocks. We disclose it.</w:t>
      </w:r>
    </w:p>
    <w:p>
      <w:pPr>
        <w:spacing w:after="120"/>
      </w:pPr>
      <w:r>
        <w:rPr>
          <w:b/>
          <w:color w:val="0B1F3A"/>
          <w:sz w:val="22"/>
        </w:rPr>
        <w:t xml:space="preserve">Worst simulated drawdown: </w:t>
      </w:r>
      <w:r>
        <w:rPr>
          <w:b w:val="0"/>
          <w:i w:val="0"/>
          <w:sz w:val="22"/>
        </w:rPr>
        <w:t>-21.2% (versus the market's roughly −50%).</w:t>
      </w:r>
    </w:p>
    <w:p>
      <w:pPr>
        <w:spacing w:after="120"/>
      </w:pPr>
      <w:r>
        <w:rPr>
          <w:b/>
          <w:color w:val="0B1F3A"/>
          <w:sz w:val="22"/>
        </w:rPr>
        <w:t xml:space="preserve">What could kill it permanently: </w:t>
      </w:r>
      <w:r>
        <w:rPr>
          <w:b w:val="0"/>
          <w:i w:val="0"/>
          <w:sz w:val="22"/>
        </w:rPr>
        <w:t>a sustained momentum reversal that compresses the factor; a fast single-month crash where the lagged overlay cannot de-risk in time; or a structural shift where bonds and gold permanently correlate with equities. Part of the sleeve's historical benefit also came from a multi-decade bond tailwind that will not fully repeat — disclosed.</w:t>
      </w:r>
    </w:p>
    <w:p>
      <w:pPr>
        <w:spacing w:after="120"/>
      </w:pPr>
      <w:r>
        <w:rPr>
          <w:b/>
          <w:color w:val="2E7D5B"/>
          <w:sz w:val="22"/>
        </w:rPr>
        <w:t xml:space="preserve">The mitigant: </w:t>
      </w:r>
      <w:r>
        <w:rPr>
          <w:b w:val="0"/>
          <w:i w:val="0"/>
          <w:sz w:val="22"/>
        </w:rPr>
        <w:t>even in the failure regime there is a backstop. In 2022 the defensive sleeve lost −9.7%, but the overlay (cutting equity exposure) still delivered +4.7% of protection versus the market. The two layers fail to different things, so one failing does not sink the strategy.</w:t>
      </w:r>
    </w:p>
    <w:p>
      <w:pPr>
        <w:pStyle w:val="Heading1"/>
      </w:pPr>
      <w:r>
        <w:t>6 · Who is on the other side of the trade?</w:t>
      </w:r>
    </w:p>
    <w:p>
      <w:pPr>
        <w:spacing w:after="120"/>
      </w:pPr>
      <w:r>
        <w:rPr>
          <w:b w:val="0"/>
          <w:i w:val="0"/>
          <w:sz w:val="22"/>
        </w:rPr>
        <w:t>We can name the counterparty and the structural reason they lose on average — which the course says is the test of a real edge.</w:t>
      </w:r>
    </w:p>
    <w:p>
      <w:pPr>
        <w:pStyle w:val="ListBullet"/>
      </w:pPr>
      <w:r>
        <w:rPr>
          <w:b/>
        </w:rPr>
        <w:t xml:space="preserve">For the momentum layer: </w:t>
      </w:r>
      <w:r>
        <w:t>investors exhibiting behavioural under-reaction (slow to update on news) and the disposition effect (selling winners too early). The structural reason it persists: momentum has rare, violent crashes that deter leveraged arbitrageurs (Daniel-Moskowitz), so it is not arbitraged away.</w:t>
      </w:r>
    </w:p>
    <w:p>
      <w:pPr>
        <w:pStyle w:val="ListBullet"/>
      </w:pPr>
      <w:r>
        <w:rPr>
          <w:b/>
        </w:rPr>
        <w:t xml:space="preserve">For the overlay edge: </w:t>
      </w:r>
      <w:r>
        <w:t>investors who panic-sell in stress, and institutions whose mandates or leverage constraints prevent them from systematically cutting exposure (they cannot go to 30% equity even when signals say so). We are paid to be the disciplined, rules-based de-risker that career risk and mandate rules stop most participants from being.</w:t>
      </w:r>
    </w:p>
    <w:p>
      <w:pPr>
        <w:spacing w:after="120"/>
      </w:pPr>
      <w:r>
        <w:rPr>
          <w:b/>
          <w:color w:val="0B1F3A"/>
          <w:sz w:val="22"/>
        </w:rPr>
        <w:t xml:space="preserve">The honest caveat: </w:t>
      </w:r>
      <w:r>
        <w:rPr>
          <w:b w:val="0"/>
          <w:i/>
          <w:sz w:val="22"/>
        </w:rPr>
        <w:t>if these structural frictions erode — if everyone runs the same overlay and the behavioural biases fade — the edge compresses. That is precisely why we do not claim a large alpha and instead lean on risk control: we would rather pitch a durable, modest edge we can explain than a large one we cannot.</w:t>
      </w:r>
    </w:p>
    <w:p>
      <w:pPr>
        <w:pStyle w:val="Heading1"/>
      </w:pPr>
      <w:r>
        <w:t>Appendix · The back-test bias catalogue (and how we handle each)</w:t>
      </w:r>
    </w:p>
    <w:p>
      <w:pPr>
        <w:spacing w:after="120"/>
      </w:pPr>
      <w:r>
        <w:rPr>
          <w:b w:val="0"/>
          <w:i w:val="0"/>
          <w:sz w:val="22"/>
        </w:rPr>
        <w:t>The course lists eleven biases "each independently capable of fabricating a Sharpe of 1+". We address all eleven.</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20"/>
              </w:rPr>
              <w:t>Bias</w:t>
            </w:r>
          </w:p>
        </w:tc>
        <w:tc>
          <w:tcPr>
            <w:tcW w:type="dxa" w:w="4320"/>
          </w:tcPr>
          <w:p>
            <w:r/>
            <w:r>
              <w:rPr>
                <w:b/>
                <w:sz w:val="20"/>
              </w:rPr>
              <w:t>How GSD²T handles it</w:t>
            </w:r>
          </w:p>
        </w:tc>
      </w:tr>
      <w:tr>
        <w:tc>
          <w:tcPr>
            <w:tcW w:type="dxa" w:w="4320"/>
          </w:tcPr>
          <w:p>
            <w:r/>
            <w:r>
              <w:rPr>
                <w:sz w:val="20"/>
              </w:rPr>
              <w:t>Survivorship</w:t>
            </w:r>
          </w:p>
        </w:tc>
        <w:tc>
          <w:tcPr>
            <w:tcW w:type="dxa" w:w="4320"/>
          </w:tcPr>
          <w:p>
            <w:r/>
            <w:r>
              <w:rPr>
                <w:sz w:val="20"/>
              </w:rPr>
              <w:t>Corrected on Bloomberg point-in-time S&amp;P 500 membership (1,085 names incl. delisted); bias measured at ~1%/yr</w:t>
            </w:r>
          </w:p>
        </w:tc>
      </w:tr>
      <w:tr>
        <w:tc>
          <w:tcPr>
            <w:tcW w:type="dxa" w:w="4320"/>
          </w:tcPr>
          <w:p>
            <w:r/>
            <w:r>
              <w:rPr>
                <w:sz w:val="20"/>
              </w:rPr>
              <w:t>Overfitting / data-snooping</w:t>
            </w:r>
          </w:p>
        </w:tc>
        <w:tc>
          <w:tcPr>
            <w:tcW w:type="dxa" w:w="4320"/>
          </w:tcPr>
          <w:p>
            <w:r/>
            <w:r>
              <w:rPr>
                <w:sz w:val="20"/>
              </w:rPr>
              <w:t>IS/OOS split (OOS Sharpe ≈ IS); deflated Sharpe; standard enhancements tested and rejected</w:t>
            </w:r>
          </w:p>
        </w:tc>
      </w:tr>
      <w:tr>
        <w:tc>
          <w:tcPr>
            <w:tcW w:type="dxa" w:w="4320"/>
          </w:tcPr>
          <w:p>
            <w:r/>
            <w:r>
              <w:rPr>
                <w:sz w:val="20"/>
              </w:rPr>
              <w:t>Selection / storytelling</w:t>
            </w:r>
          </w:p>
        </w:tc>
        <w:tc>
          <w:tcPr>
            <w:tcW w:type="dxa" w:w="4320"/>
          </w:tcPr>
          <w:p>
            <w:r/>
            <w:r>
              <w:rPr>
                <w:sz w:val="20"/>
              </w:rPr>
              <w:t>Universe defined ex ante (the full S&amp;P 500); no narrative built after seeing results</w:t>
            </w:r>
          </w:p>
        </w:tc>
      </w:tr>
      <w:tr>
        <w:tc>
          <w:tcPr>
            <w:tcW w:type="dxa" w:w="4320"/>
          </w:tcPr>
          <w:p>
            <w:r/>
            <w:r>
              <w:rPr>
                <w:sz w:val="20"/>
              </w:rPr>
              <w:t>Cost &amp; turnover omission</w:t>
            </w:r>
          </w:p>
        </w:tc>
        <w:tc>
          <w:tcPr>
            <w:tcW w:type="dxa" w:w="4320"/>
          </w:tcPr>
          <w:p>
            <w:r/>
            <w:r>
              <w:rPr>
                <w:sz w:val="20"/>
              </w:rPr>
              <w:t>15 bps round-trip on all turnover; every figure is net of costs; net-of-fee shown separately</w:t>
            </w:r>
          </w:p>
        </w:tc>
      </w:tr>
      <w:tr>
        <w:tc>
          <w:tcPr>
            <w:tcW w:type="dxa" w:w="4320"/>
          </w:tcPr>
          <w:p>
            <w:r/>
            <w:r>
              <w:rPr>
                <w:sz w:val="20"/>
              </w:rPr>
              <w:t>Market-impact</w:t>
            </w:r>
          </w:p>
        </w:tc>
        <w:tc>
          <w:tcPr>
            <w:tcW w:type="dxa" w:w="4320"/>
          </w:tcPr>
          <w:p>
            <w:r/>
            <w:r>
              <w:rPr>
                <w:sz w:val="20"/>
              </w:rPr>
              <w:t>Capacity from the square-root / 5%-ADV rule; ADV measured, not assumed; impact not ignored</w:t>
            </w:r>
          </w:p>
        </w:tc>
      </w:tr>
      <w:tr>
        <w:tc>
          <w:tcPr>
            <w:tcW w:type="dxa" w:w="4320"/>
          </w:tcPr>
          <w:p>
            <w:r/>
            <w:r>
              <w:rPr>
                <w:sz w:val="20"/>
              </w:rPr>
              <w:t>Asymmetric execution</w:t>
            </w:r>
          </w:p>
        </w:tc>
        <w:tc>
          <w:tcPr>
            <w:tcW w:type="dxa" w:w="4320"/>
          </w:tcPr>
          <w:p>
            <w:r/>
            <w:r>
              <w:rPr>
                <w:sz w:val="20"/>
              </w:rPr>
              <w:t>Long-only, no shorting — no hard-to-fill short legs in stress</w:t>
            </w:r>
          </w:p>
        </w:tc>
      </w:tr>
      <w:tr>
        <w:tc>
          <w:tcPr>
            <w:tcW w:type="dxa" w:w="4320"/>
          </w:tcPr>
          <w:p>
            <w:r/>
            <w:r>
              <w:rPr>
                <w:sz w:val="20"/>
              </w:rPr>
              <w:t>Corporate-action / delisting</w:t>
            </w:r>
          </w:p>
        </w:tc>
        <w:tc>
          <w:tcPr>
            <w:tcW w:type="dxa" w:w="4320"/>
          </w:tcPr>
          <w:p>
            <w:r/>
            <w:r>
              <w:rPr>
                <w:sz w:val="20"/>
              </w:rPr>
              <w:t>Point-in-time data treats delisted names correctly (delisted ≠ zero return)</w:t>
            </w:r>
          </w:p>
        </w:tc>
      </w:tr>
      <w:tr>
        <w:tc>
          <w:tcPr>
            <w:tcW w:type="dxa" w:w="4320"/>
          </w:tcPr>
          <w:p>
            <w:r/>
            <w:r>
              <w:rPr>
                <w:sz w:val="20"/>
              </w:rPr>
              <w:t>Intrabar-path</w:t>
            </w:r>
          </w:p>
        </w:tc>
        <w:tc>
          <w:tcPr>
            <w:tcW w:type="dxa" w:w="4320"/>
          </w:tcPr>
          <w:p>
            <w:r/>
            <w:r>
              <w:rPr>
                <w:sz w:val="20"/>
              </w:rPr>
              <w:t>Monthly rebalance; no stops or targets; no favourable intra-bar fills assumed</w:t>
            </w:r>
          </w:p>
        </w:tc>
      </w:tr>
      <w:tr>
        <w:tc>
          <w:tcPr>
            <w:tcW w:type="dxa" w:w="4320"/>
          </w:tcPr>
          <w:p>
            <w:r/>
            <w:r>
              <w:rPr>
                <w:sz w:val="20"/>
              </w:rPr>
              <w:t>Calendar</w:t>
            </w:r>
          </w:p>
        </w:tc>
        <w:tc>
          <w:tcPr>
            <w:tcW w:type="dxa" w:w="4320"/>
          </w:tcPr>
          <w:p>
            <w:r/>
            <w:r>
              <w:rPr>
                <w:sz w:val="20"/>
              </w:rPr>
              <w:t>Monthly frequency; no intraday calendar effects to mishandle</w:t>
            </w:r>
          </w:p>
        </w:tc>
      </w:tr>
      <w:tr>
        <w:tc>
          <w:tcPr>
            <w:tcW w:type="dxa" w:w="4320"/>
          </w:tcPr>
          <w:p>
            <w:r/>
            <w:r>
              <w:rPr>
                <w:sz w:val="20"/>
              </w:rPr>
              <w:t>Universe-selection</w:t>
            </w:r>
          </w:p>
        </w:tc>
        <w:tc>
          <w:tcPr>
            <w:tcW w:type="dxa" w:w="4320"/>
          </w:tcPr>
          <w:p>
            <w:r/>
            <w:r>
              <w:rPr>
                <w:sz w:val="20"/>
              </w:rPr>
              <w:t>Point-in-time membership (the survivorship fix) avoids the start-vs-as-of mismatch</w:t>
            </w:r>
          </w:p>
        </w:tc>
      </w:tr>
      <w:tr>
        <w:tc>
          <w:tcPr>
            <w:tcW w:type="dxa" w:w="4320"/>
          </w:tcPr>
          <w:p>
            <w:r/>
            <w:r>
              <w:rPr>
                <w:sz w:val="20"/>
              </w:rPr>
              <w:t>Regime</w:t>
            </w:r>
          </w:p>
        </w:tc>
        <w:tc>
          <w:tcPr>
            <w:tcW w:type="dxa" w:w="4320"/>
          </w:tcPr>
          <w:p>
            <w:r/>
            <w:r>
              <w:rPr>
                <w:sz w:val="20"/>
              </w:rPr>
              <w:t>Stress-tested across 7 crises; 2022 correlated-drawdown failure disclosed and decomposed</w:t>
            </w:r>
          </w:p>
        </w:tc>
      </w:tr>
    </w:tbl>
    <w:p>
      <w:pPr>
        <w:pStyle w:val="Heading1"/>
      </w:pPr>
      <w:r>
        <w:t>Closing — the one thing above all</w:t>
      </w:r>
    </w:p>
    <w:p>
      <w:pPr>
        <w:spacing w:after="120"/>
      </w:pPr>
      <w:r>
        <w:rPr>
          <w:b w:val="0"/>
          <w:i/>
          <w:sz w:val="22"/>
        </w:rPr>
        <w:t>The course's final message is that the investors who survive are not those with the best models, but those most disciplined about the gap between their model and the world. That is our entire posture: we measured the survivorship bias rather than disclaiming it, stress-tested our assumptions rather than asserting them, rejected the enhancements that did not survive out-of-sample, and named the regime that breaks us. We pitch a credible, defensible edge — not the largest number we could produce.</w:t>
      </w:r>
    </w:p>
    <w:p>
      <w:r>
        <w:rPr>
          <w:i/>
          <w:color w:val="888888"/>
          <w:sz w:val="16"/>
        </w:rPr>
        <w:t>Internal prep — GSD²T Asset Management, ESADE Asset Management course. All performance simulated; the fund is fictional.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