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GSD²T — Q&amp;A Simulation &amp; Defence Notes</w:t>
      </w:r>
    </w:p>
    <w:p>
      <w:r>
        <w:rPr>
          <w:i/>
          <w:color w:val="555555"/>
          <w:sz w:val="22"/>
        </w:rPr>
        <w:t>Anticipated panel questions with honest, data-grounded answers · internal prep</w:t>
      </w:r>
    </w:p>
    <w:p>
      <w:pPr>
        <w:pStyle w:val="Heading1"/>
      </w:pPr>
      <w:r>
        <w:t>How to use this (composure principles)</w:t>
      </w:r>
    </w:p>
    <w:p>
      <w:pPr>
        <w:pStyle w:val="ListBullet"/>
      </w:pPr>
      <w:r>
        <w:t>Concede small points fast, then pivot to your real strength (risk control). Defensiveness reads as weakness.</w:t>
      </w:r>
    </w:p>
    <w:p>
      <w:pPr>
        <w:pStyle w:val="ListBullet"/>
      </w:pPr>
      <w:r>
        <w:t>Lead with a number. "Our drawdown was −21% vs the market's −50%" beats a paragraph of theory.</w:t>
      </w:r>
    </w:p>
    <w:p>
      <w:pPr>
        <w:pStyle w:val="ListBullet"/>
      </w:pPr>
      <w:r>
        <w:t>Never claim more than your data shows. The panel has the appendix; a contradicted claim costs more than the question.</w:t>
      </w:r>
    </w:p>
    <w:p>
      <w:pPr>
        <w:pStyle w:val="ListBullet"/>
      </w:pPr>
      <w:r>
        <w:t>If you don't know, say "we didn't test that — here's how we would." Honesty scores; bluffing doesn't.</w:t>
      </w:r>
    </w:p>
    <w:p>
      <w:pPr>
        <w:pStyle w:val="ListBullet"/>
      </w:pPr>
      <w:r>
        <w:t>Your one-line anchor: "Our edge is capital preservation, not a faster signal. We win by losing less."</w:t>
      </w:r>
    </w:p>
    <w:p>
      <w:pPr>
        <w:pStyle w:val="Heading1"/>
      </w:pPr>
      <w:r>
        <w:t>A · The edge &amp; strategy</w:t>
      </w: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What is your actual edge? Everyone runs momentum.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Our edge is not the stock signal — momentum is commoditised and we say so. Our edge is the macro overlay that systematically cuts equity exposure in stress, plus a defensive sleeve that earns in risk-off periods instead of sitting in cash. That is what turns a raw momentum return into a 1.09 Sharpe with half the market's drawdown.</w:t>
      </w:r>
    </w:p>
    <w:p>
      <w:pPr>
        <w:spacing w:after="120"/>
      </w:pPr>
      <w:r>
        <w:rPr>
          <w:b/>
          <w:color w:val="2E7D5B"/>
          <w:sz w:val="19"/>
        </w:rPr>
        <w:t xml:space="preserve">Key number:  </w:t>
      </w:r>
      <w:r>
        <w:rPr>
          <w:b w:val="0"/>
          <w:i w:val="0"/>
          <w:sz w:val="19"/>
        </w:rPr>
        <w:t>A raw momentum ETF (MTUM) ran ~1.0 Sharpe with ~−50% drawdowns; we deliver 1.09 at −21%.</w:t>
      </w:r>
    </w:p>
    <w:p>
      <w:pPr>
        <w:spacing w:after="120"/>
      </w:pPr>
      <w:r>
        <w:rPr>
          <w:b/>
          <w:color w:val="B83A3A"/>
          <w:sz w:val="19"/>
        </w:rPr>
        <w:t xml:space="preserve">Avoid:  </w:t>
      </w:r>
      <w:r>
        <w:rPr>
          <w:b w:val="0"/>
          <w:i w:val="0"/>
          <w:sz w:val="19"/>
        </w:rPr>
        <w:t>Don't claim a proprietary or 'better' momentum signal — you can't defend it and don't need to.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Why does momentum persist? Shouldn't it be arbitraged away?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It's a behavioural under-reaction effect, and it persists because of limits to arbitrage — momentum has rare, violent crashes that deter leveraged arbitrageurs, and mandate/career constraints stop most managers from following it cleanly. Decades of literature (Jegadeesh &amp; Titman onward) document it. We don't bet the fund on it though — it's the selection layer; the overlay is the differentiator.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Isn't this just a long-only factor portfolio I can buy as an ETF?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Partly, and we're honest about that — the stock-selection layer is replicable. What isn't replicable is the overlay-plus-sleeve timing, which drives the drawdown and Sharpe. That's also why we charge below hedge-fund terms and only take a performance fee above the benchmark.</w:t>
      </w:r>
    </w:p>
    <w:p>
      <w:pPr>
        <w:spacing w:after="40"/>
      </w:pPr>
    </w:p>
    <w:p>
      <w:pPr>
        <w:pStyle w:val="Heading1"/>
      </w:pPr>
      <w:r>
        <w:t>B · Portfolio construction (the concentration trap)</w:t>
      </w: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Why hold ~125 names? Why not 20–30 high-conviction picks?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We tested it. A 25-name book looks best in our single most-optimistic setup — monthly, current constituents, Sharpe ~1.20 — but it REVERSES on the survivorship-free, point-in-time data, where the diversified quartile wins on both Sharpe (0.54 vs 0.48) and drawdown (−21% vs −31%). An edge that only appears in your most flattering backtest is an artifact, not an edge. We hold the diversified book because it's the number we can trust, it has a fraction of the single-name risk, and it preserves capacity.</w:t>
      </w:r>
    </w:p>
    <w:p>
      <w:pPr>
        <w:spacing w:after="120"/>
      </w:pPr>
      <w:r>
        <w:rPr>
          <w:b/>
          <w:color w:val="2E7D5B"/>
          <w:sz w:val="19"/>
        </w:rPr>
        <w:t xml:space="preserve">Key number:  </w:t>
      </w:r>
      <w:r>
        <w:rPr>
          <w:b w:val="0"/>
          <w:i w:val="0"/>
          <w:sz w:val="19"/>
        </w:rPr>
        <w:t>Concentration premium is positive only monthly; it goes negative on survivorship-free data.</w:t>
      </w:r>
    </w:p>
    <w:p>
      <w:pPr>
        <w:spacing w:after="120"/>
      </w:pPr>
      <w:r>
        <w:rPr>
          <w:b/>
          <w:color w:val="B83A3A"/>
          <w:sz w:val="19"/>
        </w:rPr>
        <w:t xml:space="preserve">Avoid:  </w:t>
      </w:r>
      <w:r>
        <w:rPr>
          <w:b w:val="0"/>
          <w:i w:val="0"/>
          <w:sz w:val="19"/>
        </w:rPr>
        <w:t>Don't say 'concentration doesn't add return' — our own monthly data shows it does. Argue fragility, not absence.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Why equal weight and not something smarter?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We tested inverse-volatility (risk-parity) weighting; it lowered the Sharpe to 0.99 from 1.09, because momentum returns concentrate in the higher-volatility winners that risk-parity down-weights. Equal weight won on evidence, and it's the most transparent and capacity-friendly choice.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Why the top quartile specifically — isn't that arbitrary?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It's the standard cut in the momentum literature and gives ~125 names — enough to express the factor cleanly without diluting into the weak half of the distribution. We tested decile and tercile around it; the risk-adjusted profile is stable, so we chose the broader, more robust, more scalable cut deliberately.</w:t>
      </w:r>
    </w:p>
    <w:p>
      <w:pPr>
        <w:spacing w:after="40"/>
      </w:pPr>
    </w:p>
    <w:p>
      <w:pPr>
        <w:pStyle w:val="Heading1"/>
      </w:pPr>
      <w:r>
        <w:t>C · The macro overlay</w:t>
      </w: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Isn't this just market timing? Market timing doesn't work.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It's not discretionary calls — it's a rules-based signal that only SCALES exposure between 30% and 100%, never shorts and never levers. We're not predicting the market; we're responding to measurable stress. The evidence is in the drawdowns: it roughly halves them in every major crisis we tested.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Did you data-mine the four overlay factors?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No. Each is economically motivated ex ante — equity fear (VIX), credit stress, rate tightening, market trend — not selected by backtest performance. They're z-scored on a rolling window and lagged. The parameter-sensitivity grid shows the result is a plateau, not a spike, which is what you'd expect from a real effect rather than a fitted one.</w:t>
      </w:r>
    </w:p>
    <w:p>
      <w:pPr>
        <w:spacing w:after="120"/>
      </w:pPr>
      <w:r>
        <w:rPr>
          <w:b/>
          <w:color w:val="B83A3A"/>
          <w:sz w:val="19"/>
        </w:rPr>
        <w:t xml:space="preserve">Avoid:  </w:t>
      </w:r>
      <w:r>
        <w:rPr>
          <w:b w:val="0"/>
          <w:i w:val="0"/>
          <w:sz w:val="19"/>
        </w:rPr>
        <w:t>Don't get drawn into defending exact thresholds; defend the ex-ante economic logic and the robustness.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What happens when the overlay whipsaws — de-risks and then the market rallies?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It does cost us in sharp V-shaped recoveries — we lag the market on its best days. That's the price of the insurance. Over a full cycle the drawdown reduction more than pays for it, but we disclose openly that we trail in fast rebounds. We're selling a smoother ride, not the highest beta.</w:t>
      </w:r>
    </w:p>
    <w:p>
      <w:pPr>
        <w:spacing w:after="40"/>
      </w:pPr>
    </w:p>
    <w:p>
      <w:pPr>
        <w:pStyle w:val="Heading1"/>
      </w:pPr>
      <w:r>
        <w:t>D · Back-test honesty (the 25-point question)</w:t>
      </w: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How do you handle survivorship bias?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We corrected it, not just disclosed it. Using Bloomberg point-in-time S&amp;P 500 membership — 1,085 historical names including everything that delisted or was acquired — we measured the bias directly at about 1% per year. Small, quantified, and our risk-control edge survives the correction intact.</w:t>
      </w:r>
    </w:p>
    <w:p>
      <w:pPr>
        <w:spacing w:after="120"/>
      </w:pPr>
      <w:r>
        <w:rPr>
          <w:b/>
          <w:color w:val="2E7D5B"/>
          <w:sz w:val="19"/>
        </w:rPr>
        <w:t xml:space="preserve">Key number:  </w:t>
      </w:r>
      <w:r>
        <w:rPr>
          <w:b w:val="0"/>
          <w:i w:val="0"/>
          <w:sz w:val="19"/>
        </w:rPr>
        <w:t>~1%/yr CAGR bias, measured on 1,085 point-in-time names.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How do I know there's no look-ahead bias?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Every signal is lagged at least one month and uses only trailing windows for the z-scores. We reserve 2000–2001 purely as signal warm-up and only measure performance from 2002, so no number is produced by a signal that wasn't fully formed at the time.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Did you include transaction costs?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Yes — 15 bps round-trip on all turnover, and every figure we show is net of it. Turnover runs around 380% a year; the cost drag is modelled, not ignored.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How do I know you didn't overfit this?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Three ways. One, a clean in-sample/out-of-sample split — the out-of-sample Sharpe is 1.01 versus 1.16 in-sample, a modest step-down, not the collapse overfitting produces, and still well above the market's 0.86 over the same out-of-sample window. Two, a parameter-sensitivity grid showing a plateau. Three — and this is the honest part — we tested the standard literature enhancements and REJECTED them when they didn't beat the simple design out-of-sample. We'll show you the experiments we threw away.</w:t>
      </w:r>
    </w:p>
    <w:p>
      <w:pPr>
        <w:spacing w:after="120"/>
      </w:pPr>
      <w:r>
        <w:rPr>
          <w:b/>
          <w:color w:val="2E7D5B"/>
          <w:sz w:val="19"/>
        </w:rPr>
        <w:t xml:space="preserve">Key number:  </w:t>
      </w:r>
      <w:r>
        <w:rPr>
          <w:b w:val="0"/>
          <w:i w:val="0"/>
          <w:sz w:val="19"/>
        </w:rPr>
        <w:t>OOS Sharpe 1.01 vs IS 1.16 (and vs SPY 0.86 OOS); deflated Sharpe in the appendix.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A Sharpe over 1 — is that even statistically significant?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Yes. The alpha t-statistic is 4.3 against the Fama-French five factors plus momentum, using Newey-West heteroskedasticity- and autocorrelation-consistent standard errors. We also report a deflated Sharpe ratio that adjusts for the number of trials. And to be clear, 1.09 is not a red-flag Sharpe — we're not claiming 3+.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Isn't your 'alpha' just disguised factor exposure?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We control for it — the +5.4% is the intercept after regressing on the five factors plus momentum. One honest caveat: our factor model has no bond or gold factor, so part of that alpha is really the defensive sleeve's bond-and-gold return, not pure skill. The cleanest, most defensible wins are the Sharpe and the drawdown, not the headline alpha.</w:t>
      </w:r>
    </w:p>
    <w:p>
      <w:pPr>
        <w:spacing w:after="120"/>
      </w:pPr>
      <w:r>
        <w:rPr>
          <w:b/>
          <w:color w:val="B83A3A"/>
          <w:sz w:val="19"/>
        </w:rPr>
        <w:t xml:space="preserve">Avoid:  </w:t>
      </w:r>
      <w:r>
        <w:rPr>
          <w:b w:val="0"/>
          <w:i w:val="0"/>
          <w:sz w:val="19"/>
        </w:rPr>
        <w:t>Don't oversell the +5.4% alpha — concede the bond/gold attribution before they raise it.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Your transaction-cost assumption — what if 15 bps is too low?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We stress-tested it. At double the cost (30 bps) the Sharpe is still 1.04; at triple (50 bps) it's 0.98; and even at 100 bps — six times our assumption — it's 0.82 with an 11.3% CAGR, both still beating the market. So we could be badly wrong about costs and still win; the 15 bps figure isn't load-bearing. And it excludes market impact, which is negligible at our size given the capacity headroom.</w:t>
      </w:r>
    </w:p>
    <w:p>
      <w:pPr>
        <w:spacing w:after="120"/>
      </w:pPr>
      <w:r>
        <w:rPr>
          <w:b/>
          <w:color w:val="2E7D5B"/>
          <w:sz w:val="19"/>
        </w:rPr>
        <w:t xml:space="preserve">Key number:  </w:t>
      </w:r>
      <w:r>
        <w:rPr>
          <w:b w:val="0"/>
          <w:i w:val="0"/>
          <w:sz w:val="19"/>
        </w:rPr>
        <w:t>Edge survives 6× the assumed cost (100 bps → Sharpe 0.82, still &gt; SPY 0.60).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Did you tune the overlay's parameters (the 0.65 baseline, 0.175 slope) to the backtest?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No, and we can show it. Varying the neutral baseline from 55% to 75% and the dial sensitivity from 0.125 to 0.225 — nine combinations — the Sharpe only moves between 1.06 and 1.09. It's a flat plateau, not a knife-edge. If we'd curve-fit those numbers you'd see a sharp peak at our exact setting and a drop-off around it; instead any reasonable calibration gives essentially the same result.</w:t>
      </w:r>
    </w:p>
    <w:p>
      <w:pPr>
        <w:spacing w:after="120"/>
      </w:pPr>
      <w:r>
        <w:rPr>
          <w:b/>
          <w:color w:val="2E7D5B"/>
          <w:sz w:val="19"/>
        </w:rPr>
        <w:t xml:space="preserve">Key number:  </w:t>
      </w:r>
      <w:r>
        <w:rPr>
          <w:b w:val="0"/>
          <w:i w:val="0"/>
          <w:sz w:val="19"/>
        </w:rPr>
        <w:t>Sharpe 1.06–1.09 across 9 overlay settings — a plateau, not a fitted peak.</w:t>
      </w:r>
    </w:p>
    <w:p>
      <w:pPr>
        <w:spacing w:after="40"/>
      </w:pPr>
    </w:p>
    <w:p>
      <w:pPr>
        <w:pStyle w:val="Heading1"/>
      </w:pPr>
      <w:r>
        <w:t>E · Risk framework</w:t>
      </w: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What's your worst case? Where's the tail risk?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Worst simulated drawdown was −21%, versus the market's −46% to −51%, and we stress-tested seven separate crises. Structurally the tail is bounded: long-only and no leverage means no unbounded loss, single names are capped near 1%, and the overlay de-risks in stress. In a live fund we'd add explicit exposure and volatility limits on top.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What regime breaks this strategy?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One where momentum AND the defensive assets fail at the same time — which is exactly what 2022 was, when stocks and bonds fell together. We disclose it. Gold in the sleeve diversifies that risk, and even including 2022 the out-of-sample period still beats the market — but we don't pretend the strategy is immune to it.</w:t>
      </w:r>
    </w:p>
    <w:p>
      <w:pPr>
        <w:spacing w:after="40"/>
      </w:pPr>
    </w:p>
    <w:p>
      <w:pPr>
        <w:pStyle w:val="Heading1"/>
      </w:pPr>
      <w:r>
        <w:t>F · The defensive sleeve</w:t>
      </w: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Why bonds and gold? 2022 destroyed the bond hedge.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2022 is precisely why we hold bonds AND gold rather than bonds alone — gold held up when Treasuries didn't. Over the full sample the sleeve beat a cash sleeve on return, Sharpe and drawdown. We also disclose that part of its historical benefit came from a multi-decade bond bull market we don't assume repeats.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Isn't the sleeve just a 60/40 or risk-parity portfolio in disguise?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No — it's conditional, not strategic. The sleeve is only funded when the overlay de-risks, roughly a third of the book on average, and its job is to be defensive in stress, not to be a permanent allocation. It turns on and off with the regime signal.</w:t>
      </w:r>
    </w:p>
    <w:p>
      <w:pPr>
        <w:spacing w:after="40"/>
      </w:pPr>
    </w:p>
    <w:p>
      <w:pPr>
        <w:pStyle w:val="Heading1"/>
      </w:pPr>
      <w:r>
        <w:t>G · Capacity &amp; liquidity</w:t>
      </w: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Your capacity number — what's the quantitative basis?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Trade no more than 5% of a name's average daily volume over two days, across ~111 holdings. We don't assume the ADV — we measured it against actual volume data: the median for our holdings is about $150M/day, which we use as the conservative case (up to $300M as the base). That gives a soft cap of $1.7–3.3 billion — 17 to 33 times the $100M raise, which uses only about 3–6% of capacity. The defensive sleeve sits in the most liquid ETFs on earth, so it adds no constraint.</w:t>
      </w:r>
    </w:p>
    <w:p>
      <w:pPr>
        <w:spacing w:after="120"/>
      </w:pPr>
      <w:r>
        <w:rPr>
          <w:b/>
          <w:color w:val="2E7D5B"/>
          <w:sz w:val="19"/>
        </w:rPr>
        <w:t xml:space="preserve">Key number:  </w:t>
      </w:r>
      <w:r>
        <w:rPr>
          <w:b w:val="0"/>
          <w:i w:val="0"/>
          <w:sz w:val="19"/>
        </w:rPr>
        <w:t>$15–30M tradeable per name × ~111 names = $1.7–3.3B soft cap (ADV measured, not assumed).</w:t>
      </w:r>
    </w:p>
    <w:p>
      <w:pPr>
        <w:spacing w:after="120"/>
      </w:pPr>
      <w:r>
        <w:rPr>
          <w:b/>
          <w:color w:val="B83A3A"/>
          <w:sz w:val="19"/>
        </w:rPr>
        <w:t xml:space="preserve">Avoid:  </w:t>
      </w:r>
      <w:r>
        <w:rPr>
          <w:b w:val="0"/>
          <w:i w:val="0"/>
          <w:sz w:val="19"/>
        </w:rPr>
        <w:t>Don't call $300–500M ADV 'conservative' — the measured median is ~$150M; lead with the measured figure.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What about liquidity drying up in a crisis?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Daily volumes do fall in a crisis, which shrinks capacity temporarily — but note the self-correction: that's exactly when the overlay de-risks and we trade less. We demand the least liquidity precisely when liquidity is scarce.</w:t>
      </w:r>
    </w:p>
    <w:p>
      <w:pPr>
        <w:spacing w:after="40"/>
      </w:pPr>
    </w:p>
    <w:p>
      <w:pPr>
        <w:pStyle w:val="Heading1"/>
      </w:pPr>
      <w:r>
        <w:t>H · Fund terms</w:t>
      </w: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Why should I pay you fees for something I can largely replicate with ETFs?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You're paying for the overlay-and-sleeve timing and the discipline, not the factor — and we price it that way: 1% management plus 15% only on returns ABOVE the S&amp;P 500, with a high-water mark. We don't charge an alpha fee on market beta you can buy for five basis points.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1% on $100M is $1M a year whether you perform or not.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Correct, and it covers operations and infrastructure. The bulk of our economics is the performance fee, which only triggers above the benchmark and only on new highs — so we're paid to beat the market, not to hold it.</w:t>
      </w:r>
    </w:p>
    <w:p>
      <w:pPr>
        <w:spacing w:after="40"/>
      </w:pPr>
    </w:p>
    <w:p>
      <w:pPr>
        <w:pStyle w:val="Heading1"/>
      </w:pPr>
      <w:r>
        <w:t>I · Results, 'why now', and general</w:t>
      </w: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Net 13.1% versus the market's 10% — that's only 3% for all this machinery.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The 3% net outperformance is real, but it's not the headline — the headline is risk. We deliver it at a 1.09 Sharpe versus 0.60, and a −21% drawdown versus −50%. We're selling risk-adjusted compounding and downside protection. In 2008 and 2020, that drawdown gap is the entire value proposition.</w:t>
      </w:r>
    </w:p>
    <w:p>
      <w:pPr>
        <w:spacing w:after="120"/>
      </w:pPr>
      <w:r>
        <w:rPr>
          <w:b/>
          <w:color w:val="2E7D5B"/>
          <w:sz w:val="19"/>
        </w:rPr>
        <w:t xml:space="preserve">Key number:  </w:t>
      </w:r>
      <w:r>
        <w:rPr>
          <w:b w:val="0"/>
          <w:i w:val="0"/>
          <w:sz w:val="19"/>
        </w:rPr>
        <w:t>Net 13.1% vs 10.0%, but Sharpe 1.09 vs 0.60 and −21% vs −50% DD.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Your out-of-sample is 2016–2026, mostly a bull market. How do you know it works in a bear?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The out-of-sample window contains the 2018 vol spike, the 2020 COVID crash and the 2022 bear — three genuine drawdowns where the overlay was tested live in the data, not just in the calm. And the strategy's whole value, de-risking, is most visible precisely in those stress periods. The in-sample period also includes 2008.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Your OOS Sharpe is higher than in-sample — isn't that suspicious?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It reflects the overlay performing well through the 2020 and 2022 stress, and we don't claim that's repeatable luck. What it does show is the absence of out-of-sample decay — the usual fingerprint of overfitting is OOS far below IS, and we don't have that.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Why now?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Elevated regime uncertainty keeps drawdown risk high, so a strategy built to de-risk is timely. Positive real yields mean the defensive sleeve actually earns while it waits, unlike the zero-rate decade. And factor crowding rewards discipline over signal-cleverness — which is exactly our design.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What would make you shut this strategy down?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Pre-defined triggers: if live tracking error versus the backtest blows out, if the overlay fails to de-risk in a genuine stress event, or if the alpha decays below costs. We'd disclose and adapt rather than hope.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What AI tools did you use?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Disclosed in the deck: AI assistants for code scaffolding, back-test engineering and document drafting. Every strategy decision, data choice and result was defined and verified by the team; nothing was fabricated; and every figure is reproducible from the committed code.</w:t>
      </w:r>
    </w:p>
    <w:p>
      <w:pPr>
        <w:spacing w:after="40"/>
      </w:pPr>
    </w:p>
    <w:p>
      <w:pPr>
        <w:pStyle w:val="Heading1"/>
      </w:pPr>
      <w:r>
        <w:t>J · Current positioning (REFRESH before the pitch)</w:t>
      </w:r>
    </w:p>
    <w:p>
      <w:pPr>
        <w:spacing w:after="120"/>
      </w:pPr>
      <w:r>
        <w:rPr>
          <w:b/>
          <w:i w:val="0"/>
          <w:color w:val="B83A3A"/>
          <w:sz w:val="21"/>
        </w:rPr>
        <w:t>IMPORTANT — these readings are as of end-2026-05. Re-run current_state.py the morning of the pitch and update the numbers and date so you quote LIVE readings, not month-old 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Indicator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Reading (z)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Signal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VIX / equity fear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+0.40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mildly risk-on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Credit stress (IEF−HYG)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-0.17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mildly risk-off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Rate direction (10Y)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+1.05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clearly risk-ON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Market trend (S&amp;P 500)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+0.31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mildly risk-on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What is your current equity exposure, and why?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As of end-2026-05, the overlay holds about 72% in equities and 28% in the defensive sleeve — modestly above our 65% neutral baseline, so the model is leaning slightly risk-on. The reason is the rate signal: the 10-year has eased over the past year, which is our strongest positive reading right now, supported by a calm VIX around 15 and a positive market trend. What's holding us back from a higher number is a mild widening in credit. Composite regime score is about +0.4 on a −2 to +2 scale.</w:t>
      </w:r>
    </w:p>
    <w:p>
      <w:pPr>
        <w:spacing w:after="120"/>
      </w:pPr>
      <w:r>
        <w:rPr>
          <w:b/>
          <w:color w:val="2E7D5B"/>
          <w:sz w:val="19"/>
        </w:rPr>
        <w:t xml:space="preserve">Key number:  </w:t>
      </w:r>
      <w:r>
        <w:rPr>
          <w:b w:val="0"/>
          <w:i w:val="0"/>
          <w:sz w:val="19"/>
        </w:rPr>
        <w:t>~72% equities / 28% defensive sleeve; composite score +0.4.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How do you see exposure changing in the medium term?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We don't forecast it — exposure is mechanical, the output of the four indicators, so we won't give you a target. But the recent path shows how it breathes: we drifted from about 70% down to the low-60s through the winter as momentum and credit softened, then stepped back up as conditions firmed. If today's calm persists we'd drift toward fully invested; if any stress indicator deteriorates, exposure comes down automatically — no committee, no discretion.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What event could lead to a reduction in exposure?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Any of the four signals flashing stress: a VIX spike, credit spreads widening (high-yield underperforming Treasuries), a sharp move up in rates, or the market trend rolling over. Concretely — a credit event, an inflation surprise that forces rates higher fast, or a momentum reversal would each pull us down, and several together would push us toward the 30% floor. The 2022 setup, rates and credit deteriorating together, is exactly what de-grosses us hard.</w:t>
      </w:r>
    </w:p>
    <w:p>
      <w:pPr>
        <w:spacing w:after="40"/>
      </w:pPr>
    </w:p>
    <w:p>
      <w:pPr>
        <w:spacing w:after="120"/>
      </w:pPr>
      <w:r>
        <w:rPr>
          <w:b/>
          <w:color w:val="0B1F3A"/>
          <w:sz w:val="23"/>
        </w:rPr>
        <w:t xml:space="preserve">Q:  </w:t>
      </w:r>
      <w:r>
        <w:rPr>
          <w:b w:val="0"/>
          <w:i w:val="0"/>
          <w:sz w:val="23"/>
        </w:rPr>
        <w:t>What are your indicators telling you right now?</w:t>
      </w:r>
    </w:p>
    <w:p>
      <w:pPr>
        <w:spacing w:after="120"/>
      </w:pPr>
      <w:r>
        <w:rPr>
          <w:b/>
          <w:color w:val="0B1F3A"/>
          <w:sz w:val="22"/>
        </w:rPr>
        <w:t xml:space="preserve">A:  </w:t>
      </w:r>
      <w:r>
        <w:rPr>
          <w:b w:val="0"/>
          <w:i w:val="0"/>
          <w:sz w:val="22"/>
        </w:rPr>
        <w:t>Net constructive but not euphoric. Rates are the clear positive (clearly risk-ON); VIX around 15 and the market trend are mildly supportive; the one yellow flag is credit, which is mildly risk-off. So we're leaning in at ~72% equities, with a hand on the dial.</w:t>
      </w:r>
    </w:p>
    <w:p>
      <w:pPr>
        <w:spacing w:after="120"/>
      </w:pPr>
      <w:r>
        <w:rPr>
          <w:b/>
          <w:color w:val="B83A3A"/>
          <w:sz w:val="19"/>
        </w:rPr>
        <w:t xml:space="preserve">Avoid:  </w:t>
      </w:r>
      <w:r>
        <w:rPr>
          <w:b w:val="0"/>
          <w:i w:val="0"/>
          <w:sz w:val="19"/>
        </w:rPr>
        <w:t>Don't editorialise about macro you can't support — quote the four indicator readings and stop there.</w:t>
      </w:r>
    </w:p>
    <w:p>
      <w:pPr>
        <w:spacing w:after="40"/>
      </w:pPr>
    </w:p>
    <w:p>
      <w:r>
        <w:rPr>
          <w:i/>
          <w:color w:val="888888"/>
          <w:sz w:val="16"/>
        </w:rPr>
        <w:t>Internal prep document — GSD²T Asset Management, ESADE Asset Management course. All performance is simulated; the fund is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