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GSD²T — How the Strategy Works</w:t>
      </w:r>
    </w:p>
    <w:p>
      <w:r>
        <w:rPr>
          <w:i/>
          <w:color w:val="555555"/>
          <w:sz w:val="22"/>
        </w:rPr>
        <w:t>A plain-English story, then the technical detail · for the team</w:t>
      </w:r>
    </w:p>
    <w:p>
      <w:r>
        <w:rPr>
          <w:i/>
          <w:color w:val="888888"/>
          <w:sz w:val="18"/>
        </w:rPr>
        <w:t>All performance is SIMULATED (2002–2026), net of trading costs. The fund is fictional.</w:t>
      </w:r>
    </w:p>
    <w:p>
      <w:pPr>
        <w:pStyle w:val="Heading1"/>
      </w:pPr>
      <w:r>
        <w:t>Part 1 — The strategy in plain English</w:t>
      </w:r>
    </w:p>
    <w:p>
      <w:pPr>
        <w:pStyle w:val="Heading2"/>
      </w:pPr>
      <w:r>
        <w:t>The one-sentence version</w:t>
      </w:r>
    </w:p>
    <w:p>
      <w:pPr>
        <w:spacing w:after="120"/>
      </w:pPr>
      <w:r>
        <w:rPr>
          <w:b w:val="0"/>
          <w:i w:val="0"/>
          <w:sz w:val="22"/>
        </w:rPr>
        <w:t>We buy the stocks that have been going up, we spread our money across about 125 of them so no single company can hurt us, and — most importantly — we run a system that tells us when to pull money OUT of the stock market and park it somewhere safe before things get ugly. We make money the way a careful driver wins a long race: not by being fastest on every straight, but by never crashing.</w:t>
      </w:r>
    </w:p>
    <w:p>
      <w:pPr>
        <w:pStyle w:val="Heading2"/>
      </w:pPr>
      <w:r>
        <w:t>How it works — three simple ideas</w:t>
      </w:r>
    </w:p>
    <w:p>
      <w:pPr>
        <w:spacing w:after="40"/>
      </w:pPr>
      <w:r>
        <w:rPr>
          <w:b/>
          <w:i w:val="0"/>
          <w:sz w:val="22"/>
        </w:rPr>
        <w:t>Idea 1 — Ride the winners.</w:t>
      </w:r>
    </w:p>
    <w:p>
      <w:pPr>
        <w:spacing w:after="120"/>
      </w:pPr>
      <w:r>
        <w:rPr>
          <w:b w:val="0"/>
          <w:i w:val="0"/>
          <w:sz w:val="22"/>
        </w:rPr>
        <w:t>Stocks that have been rising tend to keep rising for a while. This is called momentum, and it is one of the most studied patterns in finance. Each month we rank every S&amp;P 500 company by how it did over the past year and hold the strongest quarter of them (about 125 names), in equal amounts. We are not trying to find the one genius pick — we hold a broad basket of what is working.</w:t>
      </w:r>
    </w:p>
    <w:p>
      <w:pPr>
        <w:spacing w:after="40"/>
      </w:pPr>
      <w:r>
        <w:rPr>
          <w:b/>
          <w:i w:val="0"/>
          <w:sz w:val="22"/>
        </w:rPr>
        <w:t>Idea 2 — Read the weather.</w:t>
      </w:r>
    </w:p>
    <w:p>
      <w:pPr>
        <w:spacing w:after="120"/>
      </w:pPr>
      <w:r>
        <w:rPr>
          <w:b w:val="0"/>
          <w:i w:val="0"/>
          <w:sz w:val="22"/>
        </w:rPr>
        <w:t>This is the real engine. We watch four signals that tell us whether the market environment is calm or stormy: the 'fear gauge' (VIX), signs of stress in the credit market, the direction of interest rates, and the overall trend of the market. When the weather is calm, we are fully invested in stocks. When the storm signals flash, the system automatically cuts our stock exposure — down to as little as 30% — and steps aside. No emotion, no hesitation; a rule does it for us.</w:t>
      </w:r>
    </w:p>
    <w:p>
      <w:pPr>
        <w:spacing w:after="40"/>
      </w:pPr>
      <w:r>
        <w:rPr>
          <w:b/>
          <w:i w:val="0"/>
          <w:sz w:val="22"/>
        </w:rPr>
        <w:t>Idea 3 — Don't just sit in cash; hold an umbrella.</w:t>
      </w:r>
    </w:p>
    <w:p>
      <w:pPr>
        <w:spacing w:after="120"/>
      </w:pPr>
      <w:r>
        <w:rPr>
          <w:b w:val="0"/>
          <w:i w:val="0"/>
          <w:sz w:val="22"/>
        </w:rPr>
        <w:t>When we step out of stocks, we don't hold boring cash. We hold government bonds and gold, which tend to RISE exactly when stocks are falling. So the money we pull out of the storm actually keeps working for us. This is the piece we added most recently, and it is what lifts our results above the basic version.</w:t>
      </w:r>
    </w:p>
    <w:p>
      <w:pPr>
        <w:pStyle w:val="Heading2"/>
      </w:pPr>
      <w:r>
        <w:t>Why this wins: we win by losing less</w:t>
      </w:r>
    </w:p>
    <w:p>
      <w:pPr>
        <w:spacing w:after="120"/>
      </w:pPr>
      <w:r>
        <w:rPr>
          <w:b w:val="0"/>
          <w:i w:val="0"/>
          <w:sz w:val="22"/>
        </w:rPr>
        <w:t>Over the last 24 years the stock market roughly halved twice — once in the 2008 financial crisis and again in the 2020 COVID crash (about −46% to −51%). Our strategy's worst fall was about -21.2%. Because we lose far less in the crashes, we start each recovery from a higher base, and over time that compounds into more money with a smoother ride: about 13.1% a year after fees versus the market's 10.0%, at roughly two-thirds of the market's bumpiness. We are not trying to beat the market on the good days — we win by not getting hurt on the bad ones.</w:t>
      </w:r>
    </w:p>
    <w:p>
      <w:pPr>
        <w:pStyle w:val="Heading2"/>
      </w:pPr>
      <w:r>
        <w:t>A picture to hold in your head</w:t>
      </w:r>
    </w:p>
    <w:p>
      <w:pPr>
        <w:spacing w:after="120"/>
      </w:pPr>
      <w:r>
        <w:rPr>
          <w:b w:val="0"/>
          <w:i/>
          <w:sz w:val="22"/>
        </w:rPr>
        <w:t>Think of a sailor on a long voyage. On calm seas they put up every sail and go fast. When they see a storm coming, they reef the sails and ride it out — they lose a little speed, but they don't capsize. Our four weather signals are the sailor's eyes, the exposure dial is the sails, and the bonds-and-gold sleeve is the ballast that steadies the boat in rough water. The whole point is to still be afloat — and ahead — when the storm passes.</w:t>
      </w:r>
    </w:p>
    <w:p>
      <w:pPr>
        <w:pStyle w:val="Heading2"/>
      </w:pPr>
      <w:r>
        <w:t>Why we chose what we chose (the short version)</w:t>
      </w:r>
    </w:p>
    <w:p>
      <w:pPr>
        <w:pStyle w:val="ListBullet"/>
      </w:pPr>
      <w:r>
        <w:rPr>
          <w:b/>
        </w:rPr>
        <w:t xml:space="preserve">Broad, not concentrated: </w:t>
      </w:r>
      <w:r>
        <w:t>we hold ~125 stocks instead of a concentrated handful, because our skill is the timing system, not picking the one winner. A wide basket means no single company blowing up can sink us. We tested holding just 25 'best ideas' — it looked great in one flattering backtest but fell apart on more honest data, so we don't trust it.</w:t>
      </w:r>
    </w:p>
    <w:p>
      <w:pPr>
        <w:pStyle w:val="ListBullet"/>
      </w:pPr>
      <w:r>
        <w:rPr>
          <w:b/>
        </w:rPr>
        <w:t xml:space="preserve">Momentum: </w:t>
      </w:r>
      <w:r>
        <w:t>it is the most robust, most researched pattern in markets. We are cleanly implementing a known effect, not inventing a secret signal we can't defend.</w:t>
      </w:r>
    </w:p>
    <w:p>
      <w:pPr>
        <w:pStyle w:val="ListBullet"/>
      </w:pPr>
      <w:r>
        <w:rPr>
          <w:b/>
        </w:rPr>
        <w:t xml:space="preserve">The weather overlay: </w:t>
      </w:r>
      <w:r>
        <w:t>anyone can buy winning stocks; very few have the discipline to step aside in a storm. A computer does it for us, the same way every time, with no fear or greed. This is our actual edge.</w:t>
      </w:r>
    </w:p>
    <w:p>
      <w:pPr>
        <w:pStyle w:val="ListBullet"/>
      </w:pPr>
      <w:r>
        <w:rPr>
          <w:b/>
        </w:rPr>
        <w:t xml:space="preserve">Fair fees: </w:t>
      </w:r>
      <w:r>
        <w:t>we only take a performance cut when we beat the market, and only on new highs. We don't charge hedge-fund prices for something you can get in and out of any month.</w:t>
      </w:r>
    </w:p>
    <w:p>
      <w:r>
        <w:br w:type="page"/>
      </w:r>
    </w:p>
    <w:p>
      <w:pPr>
        <w:pStyle w:val="Heading1"/>
      </w:pPr>
      <w:r>
        <w:t>Part 2 — The technical version</w:t>
      </w:r>
    </w:p>
    <w:p>
      <w:pPr>
        <w:pStyle w:val="Heading2"/>
      </w:pPr>
      <w:r>
        <w:t>Universe &amp; data</w:t>
      </w:r>
    </w:p>
    <w:p>
      <w:pPr>
        <w:spacing w:after="120"/>
      </w:pPr>
      <w:r>
        <w:rPr>
          <w:b w:val="0"/>
          <w:i w:val="0"/>
          <w:sz w:val="22"/>
        </w:rPr>
        <w:t>Universe: the full S&amp;P 500, all 11 sectors (~500 large-cap US stocks). Data: monthly total returns from yfinance; VIX, IEF/HYG, 10-year yield and the S&amp;P 500 index for the overlay; Fama-French 5 factors + Momentum and the risk-free rate from the Ken French library; Bloomberg point-in-time membership for the survivorship test. Back-test window 2002–2026 (2000–2001 reserved as signal warm-up).</w:t>
      </w:r>
    </w:p>
    <w:p>
      <w:pPr>
        <w:pStyle w:val="Heading2"/>
      </w:pPr>
      <w:r>
        <w:t>Layer 1 — Signal &amp; selection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Item</w:t>
            </w:r>
          </w:p>
        </w:tc>
        <w:tc>
          <w:tcPr>
            <w:tcW w:type="dxa" w:w="4320"/>
          </w:tcPr>
          <w:p>
            <w:r/>
            <w:r>
              <w:rPr>
                <w:b/>
                <w:sz w:val="20"/>
              </w:rPr>
              <w:t>Detail</w:t>
            </w:r>
          </w:p>
        </w:tc>
      </w:tr>
      <w:tr>
        <w:tc>
          <w:tcPr>
            <w:tcW w:type="dxa" w:w="4320"/>
          </w:tcPr>
          <w:p>
            <w:r/>
            <w:r>
              <w:rPr>
                <w:sz w:val="20"/>
              </w:rPr>
              <w:t>Signal</w:t>
            </w:r>
          </w:p>
        </w:tc>
        <w:tc>
          <w:tcPr>
            <w:tcW w:type="dxa" w:w="4320"/>
          </w:tcPr>
          <w:p>
            <w:r/>
            <w:r>
              <w:rPr>
                <w:sz w:val="20"/>
              </w:rPr>
              <w:t>12-minus-1 month price momentum (last 12 months' return, skipping the most recent month)</w:t>
            </w:r>
          </w:p>
        </w:tc>
      </w:tr>
      <w:tr>
        <w:tc>
          <w:tcPr>
            <w:tcW w:type="dxa" w:w="4320"/>
          </w:tcPr>
          <w:p>
            <w:r/>
            <w:r>
              <w:rPr>
                <w:sz w:val="20"/>
              </w:rPr>
              <w:t>Standardisation</w:t>
            </w:r>
          </w:p>
        </w:tc>
        <w:tc>
          <w:tcPr>
            <w:tcW w:type="dxa" w:w="4320"/>
          </w:tcPr>
          <w:p>
            <w:r/>
            <w:r>
              <w:rPr>
                <w:sz w:val="20"/>
              </w:rPr>
              <w:t>Cross-sectional z-score each month (rank vs the universe)</w:t>
            </w:r>
          </w:p>
        </w:tc>
      </w:tr>
      <w:tr>
        <w:tc>
          <w:tcPr>
            <w:tcW w:type="dxa" w:w="4320"/>
          </w:tcPr>
          <w:p>
            <w:r/>
            <w:r>
              <w:rPr>
                <w:sz w:val="20"/>
              </w:rPr>
              <w:t>Selection</w:t>
            </w:r>
          </w:p>
        </w:tc>
        <w:tc>
          <w:tcPr>
            <w:tcW w:type="dxa" w:w="4320"/>
          </w:tcPr>
          <w:p>
            <w:r/>
            <w:r>
              <w:rPr>
                <w:sz w:val="20"/>
              </w:rPr>
              <w:t>Top quartile (~125 names)</w:t>
            </w:r>
          </w:p>
        </w:tc>
      </w:tr>
      <w:tr>
        <w:tc>
          <w:tcPr>
            <w:tcW w:type="dxa" w:w="4320"/>
          </w:tcPr>
          <w:p>
            <w:r/>
            <w:r>
              <w:rPr>
                <w:sz w:val="20"/>
              </w:rPr>
              <w:t>Weighting</w:t>
            </w:r>
          </w:p>
        </w:tc>
        <w:tc>
          <w:tcPr>
            <w:tcW w:type="dxa" w:w="4320"/>
          </w:tcPr>
          <w:p>
            <w:r/>
            <w:r>
              <w:rPr>
                <w:sz w:val="20"/>
              </w:rPr>
              <w:t>Equal weight within the book (~0.9% per name at full exposure)</w:t>
            </w:r>
          </w:p>
        </w:tc>
      </w:tr>
    </w:tbl>
    <w:p>
      <w:pPr>
        <w:pStyle w:val="Heading2"/>
      </w:pPr>
      <w:r>
        <w:t>Layer 2 — The macro overlay (the risk dial)</w:t>
      </w:r>
    </w:p>
    <w:p>
      <w:pPr>
        <w:spacing w:after="80"/>
      </w:pPr>
      <w:r>
        <w:rPr>
          <w:b w:val="0"/>
          <w:i w:val="0"/>
          <w:sz w:val="22"/>
        </w:rPr>
        <w:t>Four economically-motivated signals, each z-scored over a rolling 5-year window, averaged into one composite 'risk score', clipped to [−2, +2] and lagged one month. Three are stress signals (turn risk down); one is trend (turn risk 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Factor</w:t>
            </w:r>
          </w:p>
        </w:tc>
        <w:tc>
          <w:tcPr>
            <w:tcW w:type="dxa" w:w="2880"/>
          </w:tcPr>
          <w:p>
            <w:r/>
            <w:r>
              <w:rPr>
                <w:b/>
                <w:sz w:val="20"/>
              </w:rPr>
              <w:t>Captures</w:t>
            </w:r>
          </w:p>
        </w:tc>
        <w:tc>
          <w:tcPr>
            <w:tcW w:type="dxa" w:w="2880"/>
          </w:tcPr>
          <w:p>
            <w:r/>
            <w:r>
              <w:rPr>
                <w:b/>
                <w:sz w:val="20"/>
              </w:rPr>
              <w:t>Direction</w:t>
            </w:r>
          </w:p>
        </w:tc>
      </w:tr>
      <w:tr>
        <w:tc>
          <w:tcPr>
            <w:tcW w:type="dxa" w:w="2880"/>
          </w:tcPr>
          <w:p>
            <w:r/>
            <w:r>
              <w:rPr>
                <w:sz w:val="20"/>
              </w:rPr>
              <w:t>VIX</w:t>
            </w:r>
          </w:p>
        </w:tc>
        <w:tc>
          <w:tcPr>
            <w:tcW w:type="dxa" w:w="2880"/>
          </w:tcPr>
          <w:p>
            <w:r/>
            <w:r>
              <w:rPr>
                <w:sz w:val="20"/>
              </w:rPr>
              <w:t>Equity fear / volatility</w:t>
            </w:r>
          </w:p>
        </w:tc>
        <w:tc>
          <w:tcPr>
            <w:tcW w:type="dxa" w:w="2880"/>
          </w:tcPr>
          <w:p>
            <w:r/>
            <w:r>
              <w:rPr>
                <w:sz w:val="20"/>
              </w:rPr>
              <w:t>High → de-risk</w:t>
            </w:r>
          </w:p>
        </w:tc>
      </w:tr>
      <w:tr>
        <w:tc>
          <w:tcPr>
            <w:tcW w:type="dxa" w:w="2880"/>
          </w:tcPr>
          <w:p>
            <w:r/>
            <w:r>
              <w:rPr>
                <w:sz w:val="20"/>
              </w:rPr>
              <w:t>Credit (IEF − HYG)</w:t>
            </w:r>
          </w:p>
        </w:tc>
        <w:tc>
          <w:tcPr>
            <w:tcW w:type="dxa" w:w="2880"/>
          </w:tcPr>
          <w:p>
            <w:r/>
            <w:r>
              <w:rPr>
                <w:sz w:val="20"/>
              </w:rPr>
              <w:t>Credit-market stress</w:t>
            </w:r>
          </w:p>
        </w:tc>
        <w:tc>
          <w:tcPr>
            <w:tcW w:type="dxa" w:w="2880"/>
          </w:tcPr>
          <w:p>
            <w:r/>
            <w:r>
              <w:rPr>
                <w:sz w:val="20"/>
              </w:rPr>
              <w:t>Widening → de-risk</w:t>
            </w:r>
          </w:p>
        </w:tc>
      </w:tr>
      <w:tr>
        <w:tc>
          <w:tcPr>
            <w:tcW w:type="dxa" w:w="2880"/>
          </w:tcPr>
          <w:p>
            <w:r/>
            <w:r>
              <w:rPr>
                <w:sz w:val="20"/>
              </w:rPr>
              <w:t>10Y yield change</w:t>
            </w:r>
          </w:p>
        </w:tc>
        <w:tc>
          <w:tcPr>
            <w:tcW w:type="dxa" w:w="2880"/>
          </w:tcPr>
          <w:p>
            <w:r/>
            <w:r>
              <w:rPr>
                <w:sz w:val="20"/>
              </w:rPr>
              <w:t>Rate tightening</w:t>
            </w:r>
          </w:p>
        </w:tc>
        <w:tc>
          <w:tcPr>
            <w:tcW w:type="dxa" w:w="2880"/>
          </w:tcPr>
          <w:p>
            <w:r/>
            <w:r>
              <w:rPr>
                <w:sz w:val="20"/>
              </w:rPr>
              <w:t>Rising → de-risk</w:t>
            </w:r>
          </w:p>
        </w:tc>
      </w:tr>
      <w:tr>
        <w:tc>
          <w:tcPr>
            <w:tcW w:type="dxa" w:w="2880"/>
          </w:tcPr>
          <w:p>
            <w:r/>
            <w:r>
              <w:rPr>
                <w:sz w:val="20"/>
              </w:rPr>
              <w:t>S&amp;P 500 trend</w:t>
            </w:r>
          </w:p>
        </w:tc>
        <w:tc>
          <w:tcPr>
            <w:tcW w:type="dxa" w:w="2880"/>
          </w:tcPr>
          <w:p>
            <w:r/>
            <w:r>
              <w:rPr>
                <w:sz w:val="20"/>
              </w:rPr>
              <w:t>Market momentum</w:t>
            </w:r>
          </w:p>
        </w:tc>
        <w:tc>
          <w:tcPr>
            <w:tcW w:type="dxa" w:w="2880"/>
          </w:tcPr>
          <w:p>
            <w:r/>
            <w:r>
              <w:rPr>
                <w:sz w:val="20"/>
              </w:rPr>
              <w:t>Up → risk-on</w:t>
            </w:r>
          </w:p>
        </w:tc>
      </w:tr>
    </w:tbl>
    <w:p>
      <w:pPr>
        <w:spacing w:after="80"/>
      </w:pPr>
      <w:r>
        <w:rPr>
          <w:b w:val="0"/>
          <w:i/>
          <w:sz w:val="22"/>
        </w:rPr>
        <w:t>The score maps to gross equity exposure:  exposure = clip(0.65 + 0.175 × score, 0.30, 1.00).  Calm → up to 100% in stocks; stress → as low as 30%.</w:t>
      </w:r>
    </w:p>
    <w:p>
      <w:pPr>
        <w:pStyle w:val="Heading2"/>
      </w:pPr>
      <w:r>
        <w:t>Layer 3 — Defensive sleeve (the 'V1' refinement)</w:t>
      </w:r>
    </w:p>
    <w:p>
      <w:pPr>
        <w:spacing w:after="120"/>
      </w:pPr>
      <w:r>
        <w:rPr>
          <w:b w:val="0"/>
          <w:i w:val="0"/>
          <w:sz w:val="22"/>
        </w:rPr>
        <w:t>The un-invested portion (1 − exposure) is NOT held in cash — it earns a Treasuries + gold basket (TLT/GLD, with IEF as the early-period fallback). These assets tend to rise in equity stress, so the risk-off sleeve contributes rather than just sitting idle. This is the single change that turned the baseline into the V1 flagship.</w:t>
      </w:r>
    </w:p>
    <w:p>
      <w:pPr>
        <w:pStyle w:val="Heading2"/>
      </w:pPr>
      <w:r>
        <w:t>Mechanics</w:t>
      </w:r>
    </w:p>
    <w:p>
      <w:pPr>
        <w:pStyle w:val="ListBullet"/>
      </w:pPr>
      <w:r>
        <w:t>Long-only, no leverage, no shorting.</w:t>
      </w:r>
    </w:p>
    <w:p>
      <w:pPr>
        <w:pStyle w:val="ListBullet"/>
      </w:pPr>
      <w:r>
        <w:t>Monthly rebalance; 15 bps round-trip transaction cost applied to all turnover (figures are net of this).</w:t>
      </w:r>
    </w:p>
    <w:p>
      <w:pPr>
        <w:pStyle w:val="ListBullet"/>
      </w:pPr>
      <w:r>
        <w:t>Average ~66% in equities over time, the rest in the defensive sleeve.</w:t>
      </w:r>
    </w:p>
    <w:p>
      <w:pPr>
        <w:pStyle w:val="Heading2"/>
      </w:pPr>
      <w:r>
        <w:t>Results (simulated, 2002–2026, net of costs, gross of fund fees)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GSD²T (V1)</w:t>
            </w:r>
          </w:p>
        </w:tc>
        <w:tc>
          <w:tcPr>
            <w:tcW w:type="dxa" w:w="2880"/>
          </w:tcPr>
          <w:p>
            <w:r/>
            <w:r>
              <w:rPr>
                <w:b/>
                <w:sz w:val="20"/>
              </w:rPr>
              <w:t>S&amp;P 500</w:t>
            </w:r>
          </w:p>
        </w:tc>
      </w:tr>
      <w:tr>
        <w:tc>
          <w:tcPr>
            <w:tcW w:type="dxa" w:w="2880"/>
          </w:tcPr>
          <w:p>
            <w:r/>
            <w:r>
              <w:rPr>
                <w:sz w:val="20"/>
              </w:rPr>
              <w:t>CAGR (gross)</w:t>
            </w:r>
          </w:p>
        </w:tc>
        <w:tc>
          <w:tcPr>
            <w:tcW w:type="dxa" w:w="2880"/>
          </w:tcPr>
          <w:p>
            <w:r/>
            <w:r>
              <w:rPr>
                <w:sz w:val="20"/>
              </w:rPr>
              <w:t>14.9%</w:t>
            </w:r>
          </w:p>
        </w:tc>
        <w:tc>
          <w:tcPr>
            <w:tcW w:type="dxa" w:w="2880"/>
          </w:tcPr>
          <w:p>
            <w:r/>
            <w:r>
              <w:rPr>
                <w:sz w:val="20"/>
              </w:rPr>
              <w:t>10.0%</w:t>
            </w:r>
          </w:p>
        </w:tc>
      </w:tr>
      <w:tr>
        <w:tc>
          <w:tcPr>
            <w:tcW w:type="dxa" w:w="2880"/>
          </w:tcPr>
          <w:p>
            <w:r/>
            <w:r>
              <w:rPr>
                <w:sz w:val="20"/>
              </w:rPr>
              <w:t>CAGR (net to investor)</w:t>
            </w:r>
          </w:p>
        </w:tc>
        <w:tc>
          <w:tcPr>
            <w:tcW w:type="dxa" w:w="2880"/>
          </w:tcPr>
          <w:p>
            <w:r/>
            <w:r>
              <w:rPr>
                <w:sz w:val="20"/>
              </w:rPr>
              <w:t>13.1%</w:t>
            </w:r>
          </w:p>
        </w:tc>
        <w:tc>
          <w:tcPr>
            <w:tcW w:type="dxa" w:w="2880"/>
          </w:tcPr>
          <w:p>
            <w:r/>
            <w:r>
              <w:rPr>
                <w:sz w:val="20"/>
              </w:rPr>
              <w:t>10.0%</w:t>
            </w:r>
          </w:p>
        </w:tc>
      </w:tr>
      <w:tr>
        <w:tc>
          <w:tcPr>
            <w:tcW w:type="dxa" w:w="2880"/>
          </w:tcPr>
          <w:p>
            <w:r/>
            <w:r>
              <w:rPr>
                <w:sz w:val="20"/>
              </w:rPr>
              <w:t>Volatility</w:t>
            </w:r>
          </w:p>
        </w:tc>
        <w:tc>
          <w:tcPr>
            <w:tcW w:type="dxa" w:w="2880"/>
          </w:tcPr>
          <w:p>
            <w:r/>
            <w:r>
              <w:rPr>
                <w:sz w:val="20"/>
              </w:rPr>
              <w:t>11.9%</w:t>
            </w:r>
          </w:p>
        </w:tc>
        <w:tc>
          <w:tcPr>
            <w:tcW w:type="dxa" w:w="2880"/>
          </w:tcPr>
          <w:p>
            <w:r/>
            <w:r>
              <w:rPr>
                <w:sz w:val="20"/>
              </w:rPr>
              <w:t>15.1%</w:t>
            </w:r>
          </w:p>
        </w:tc>
      </w:tr>
      <w:tr>
        <w:tc>
          <w:tcPr>
            <w:tcW w:type="dxa" w:w="2880"/>
          </w:tcPr>
          <w:p>
            <w:r/>
            <w:r>
              <w:rPr>
                <w:sz w:val="20"/>
              </w:rPr>
              <w:t>Sharpe</w:t>
            </w:r>
          </w:p>
        </w:tc>
        <w:tc>
          <w:tcPr>
            <w:tcW w:type="dxa" w:w="2880"/>
          </w:tcPr>
          <w:p>
            <w:r/>
            <w:r>
              <w:rPr>
                <w:sz w:val="20"/>
              </w:rPr>
              <w:t>1.09</w:t>
            </w:r>
          </w:p>
        </w:tc>
        <w:tc>
          <w:tcPr>
            <w:tcW w:type="dxa" w:w="2880"/>
          </w:tcPr>
          <w:p>
            <w:r/>
            <w:r>
              <w:rPr>
                <w:sz w:val="20"/>
              </w:rPr>
              <w:t>0.60</w:t>
            </w:r>
          </w:p>
        </w:tc>
      </w:tr>
      <w:tr>
        <w:tc>
          <w:tcPr>
            <w:tcW w:type="dxa" w:w="2880"/>
          </w:tcPr>
          <w:p>
            <w:r/>
            <w:r>
              <w:rPr>
                <w:sz w:val="20"/>
              </w:rPr>
              <w:t>Max drawdown</w:t>
            </w:r>
          </w:p>
        </w:tc>
        <w:tc>
          <w:tcPr>
            <w:tcW w:type="dxa" w:w="2880"/>
          </w:tcPr>
          <w:p>
            <w:r/>
            <w:r>
              <w:rPr>
                <w:sz w:val="20"/>
              </w:rPr>
              <w:t>-21.2%</w:t>
            </w:r>
          </w:p>
        </w:tc>
        <w:tc>
          <w:tcPr>
            <w:tcW w:type="dxa" w:w="2880"/>
          </w:tcPr>
          <w:p>
            <w:r/>
            <w:r>
              <w:rPr>
                <w:sz w:val="20"/>
              </w:rPr>
              <w:t>-50.8%</w:t>
            </w:r>
          </w:p>
        </w:tc>
      </w:tr>
      <w:tr>
        <w:tc>
          <w:tcPr>
            <w:tcW w:type="dxa" w:w="2880"/>
          </w:tcPr>
          <w:p>
            <w:r/>
            <w:r>
              <w:rPr>
                <w:sz w:val="20"/>
              </w:rPr>
              <w:t>Alpha vs FF5+Momentum</w:t>
            </w:r>
          </w:p>
        </w:tc>
        <w:tc>
          <w:tcPr>
            <w:tcW w:type="dxa" w:w="2880"/>
          </w:tcPr>
          <w:p>
            <w:r/>
            <w:r>
              <w:rPr>
                <w:sz w:val="20"/>
              </w:rPr>
              <w:t>+5.4% (t=4.3)</w:t>
            </w:r>
          </w:p>
        </w:tc>
        <w:tc>
          <w:tcPr>
            <w:tcW w:type="dxa" w:w="2880"/>
          </w:tcPr>
          <w:p>
            <w:r/>
            <w:r>
              <w:rPr>
                <w:sz w:val="20"/>
              </w:rPr>
              <w:t>—</w:t>
            </w:r>
          </w:p>
        </w:tc>
      </w:tr>
      <w:tr>
        <w:tc>
          <w:tcPr>
            <w:tcW w:type="dxa" w:w="2880"/>
          </w:tcPr>
          <w:p>
            <w:r/>
            <w:r>
              <w:rPr>
                <w:sz w:val="20"/>
              </w:rPr>
              <w:t>In-sample / out-of-sample Sharpe</w:t>
            </w:r>
          </w:p>
        </w:tc>
        <w:tc>
          <w:tcPr>
            <w:tcW w:type="dxa" w:w="2880"/>
          </w:tcPr>
          <w:p>
            <w:r/>
            <w:r>
              <w:rPr>
                <w:sz w:val="20"/>
              </w:rPr>
              <w:t>1.16 / 1.01</w:t>
            </w:r>
          </w:p>
        </w:tc>
        <w:tc>
          <w:tcPr>
            <w:tcW w:type="dxa" w:w="2880"/>
          </w:tcPr>
          <w:p>
            <w:r/>
            <w:r>
              <w:rPr>
                <w:sz w:val="20"/>
              </w:rPr>
              <w:t>—</w:t>
            </w:r>
          </w:p>
        </w:tc>
      </w:tr>
    </w:tbl>
    <w:p>
      <w:pPr>
        <w:spacing w:after="120"/>
      </w:pPr>
      <w:r>
        <w:rPr>
          <w:b w:val="0"/>
          <w:i/>
          <w:sz w:val="20"/>
        </w:rPr>
        <w:t>Market beta is only 0.69 — the strategy carries low net market exposure, which is why it falls so much less in crashes.</w:t>
      </w:r>
    </w:p>
    <w:p>
      <w:pPr>
        <w:pStyle w:val="Heading2"/>
      </w:pPr>
      <w:r>
        <w:t>Design decisions &amp; the evidence behind them</w:t>
      </w:r>
    </w:p>
    <w:p>
      <w:pPr>
        <w:spacing w:after="80"/>
      </w:pPr>
      <w:r>
        <w:rPr>
          <w:b w:val="0"/>
          <w:i/>
          <w:sz w:val="22"/>
        </w:rPr>
        <w:t>Every choice was tested, not assumed. We judged on out-of-sample results to avoid fooling ourselves.</w:t>
      </w:r>
    </w:p>
    <w:p>
      <w:pPr>
        <w:pStyle w:val="ListBullet"/>
      </w:pPr>
      <w:r>
        <w:rPr>
          <w:b/>
        </w:rPr>
        <w:t xml:space="preserve">Diversified (quartile), not concentrated: </w:t>
      </w:r>
      <w:r>
        <w:t>we tested holding 25 / 50 / 125 / 165 names. A concentrated 25-name book looks best in our most optimistic setup (monthly, current constituents: Sharpe ~1.20) — but it REVERSES on the survivorship-free, point-in-time data, where the diversified quartile wins on both Sharpe (0.54 vs 0.48) and drawdown (−21% vs −31%). An edge that only appears in our most flattering backtest is an artifact, not an edge — so we hold the diversified book.</w:t>
      </w:r>
    </w:p>
    <w:p>
      <w:pPr>
        <w:pStyle w:val="ListBullet"/>
      </w:pPr>
      <w:r>
        <w:rPr>
          <w:b/>
        </w:rPr>
        <w:t xml:space="preserve">Equal weight, not risk-parity: </w:t>
      </w:r>
      <w:r>
        <w:t>we tested inverse-volatility (risk-parity) weighting. It LOWERED the Sharpe (to 0.99 vs 1.09) because momentum returns concentrate in higher-volatility winners. Equal weight won on evidence.</w:t>
      </w:r>
    </w:p>
    <w:p>
      <w:pPr>
        <w:pStyle w:val="ListBullet"/>
      </w:pPr>
      <w:r>
        <w:rPr>
          <w:b/>
        </w:rPr>
        <w:t xml:space="preserve">Top-quartile cut: </w:t>
      </w:r>
      <w:r>
        <w:t>the top quartile is the standard cut in the academic momentum literature and gives ~125 names — enough to express the factor cleanly without diluting into the weak half of the distribution.</w:t>
      </w:r>
    </w:p>
    <w:p>
      <w:pPr>
        <w:pStyle w:val="ListBullet"/>
      </w:pPr>
      <w:r>
        <w:rPr>
          <w:b/>
        </w:rPr>
        <w:t xml:space="preserve">Defensive sleeve over cash: </w:t>
      </w:r>
      <w:r>
        <w:t>a head-to-head bake-off showed the bonds-and-gold sleeve beat a cash sleeve on return, Sharpe AND drawdown, in and out of sample. We adopted it as the flagship (V1).</w:t>
      </w:r>
    </w:p>
    <w:p>
      <w:pPr>
        <w:pStyle w:val="ListBullet"/>
      </w:pPr>
      <w:r>
        <w:rPr>
          <w:b/>
        </w:rPr>
        <w:t xml:space="preserve">Enhancements tested and rejected: </w:t>
      </w:r>
      <w:r>
        <w:t>we tested the standard literature enhancements — risk-managed momentum, volatility targeting, low-beta and quality tilts. NONE improved out-of-sample performance, so we kept the simple design. Discipline, not complexity.</w:t>
      </w:r>
    </w:p>
    <w:p>
      <w:pPr>
        <w:pStyle w:val="ListBullet"/>
      </w:pPr>
      <w:r>
        <w:rPr>
          <w:b/>
        </w:rPr>
        <w:t xml:space="preserve">Survivorship bias corrected: </w:t>
      </w:r>
      <w:r>
        <w:t>using current index members overstates results because failed companies drop out. We measured the bias on Bloomberg point-in-time data (1,085 names incl. delisted): only ~1.0%/yr. Small, quantified, disclosed — not assumed.</w:t>
      </w:r>
    </w:p>
    <w:p>
      <w:pPr>
        <w:pStyle w:val="ListBullet"/>
      </w:pPr>
      <w:r>
        <w:rPr>
          <w:b/>
        </w:rPr>
        <w:t xml:space="preserve">Sector-wide, not tech-only: </w:t>
      </w:r>
      <w:r>
        <w:t>the same engine gives strong, significant results on the full S&amp;P 500 and even the Dow 30 — evidence of a real effect, not a single-market fit. We pitch the diversified sector-wide version.</w:t>
      </w:r>
    </w:p>
    <w:p>
      <w:pPr>
        <w:pStyle w:val="Heading2"/>
      </w:pPr>
      <w:r>
        <w:t>Risk framework</w:t>
      </w:r>
    </w:p>
    <w:p>
      <w:pPr>
        <w:pStyle w:val="ListBullet"/>
      </w:pPr>
      <w:r>
        <w:t>Primary control: the macro overlay de-grosses to as low as 30% equities in stress — the source of the −21% drawdown versus the market's −46/−51%.</w:t>
      </w:r>
    </w:p>
    <w:p>
      <w:pPr>
        <w:pStyle w:val="ListBullet"/>
      </w:pPr>
      <w:r>
        <w:t>Diversification: ~125 names across 11 sectors, ~1% single-name cap, no leverage, no shorting.</w:t>
      </w:r>
    </w:p>
    <w:p>
      <w:pPr>
        <w:pStyle w:val="ListBullet"/>
      </w:pPr>
      <w:r>
        <w:t>Factor discipline: low, controlled exposures; alpha measured against FF5+Momentum with Newey-West standard errors.</w:t>
      </w:r>
    </w:p>
    <w:p>
      <w:pPr>
        <w:pStyle w:val="ListBullet"/>
      </w:pPr>
      <w:r>
        <w:t>Defensive convexity: the risk-off sleeve (Treasuries + gold) tends to rise when equities fall.</w:t>
      </w:r>
    </w:p>
    <w:p>
      <w:pPr>
        <w:pStyle w:val="Heading2"/>
      </w:pPr>
      <w:r>
        <w:t>Honest limitations (what we disclose)</w:t>
      </w:r>
    </w:p>
    <w:p>
      <w:pPr>
        <w:pStyle w:val="ListBullet"/>
      </w:pPr>
      <w:r>
        <w:t>Returns are net of trading costs but gross of fund fees and taxes; investor-net is shown separately.</w:t>
      </w:r>
    </w:p>
    <w:p>
      <w:pPr>
        <w:pStyle w:val="ListBullet"/>
      </w:pPr>
      <w:r>
        <w:t>The defensive sleeve relies on bonds/gold being defensive; 2022 broke that briefly (bonds fell with stocks), though the out-of-sample period including 2022 still beats the market. Part of the historical benefit came from a multi-decade bond tailwind that will not fully repeat.</w:t>
      </w:r>
    </w:p>
    <w:p>
      <w:pPr>
        <w:pStyle w:val="ListBullet"/>
      </w:pPr>
      <w:r>
        <w:t>All performance is simulated; no live track record exists.</w:t>
      </w:r>
    </w:p>
    <w:p>
      <w:r>
        <w:rPr>
          <w:i/>
          <w:color w:val="888888"/>
          <w:sz w:val="16"/>
        </w:rPr>
        <w:t>Disclaimer: Fictional pitch for the ESADE Asset Management course. Not investment advice. All performance is simulated; past performance does not indicate future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