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Strategy Refinement — Bake-off Findings &amp; Recommendation</w:t>
      </w:r>
    </w:p>
    <w:p>
      <w:r>
        <w:rPr>
          <w:i/>
          <w:color w:val="555555"/>
          <w:sz w:val="22"/>
        </w:rPr>
        <w:t>GSD2T Asset Management · ESADE Asset Management · internal research memo</w:t>
      </w:r>
    </w:p>
    <w:p>
      <w:r>
        <w:rPr>
          <w:i/>
          <w:color w:val="888888"/>
          <w:sz w:val="18"/>
        </w:rPr>
        <w:t>All performance SIMULATED, monthly, 2002–2026, net of 15 bps trading costs, GROSS of fund fees. Sharpe is excess-of-risk-free. IS = in-sample 2002–2015; OOS = out-of-sample 2016–2026.</w:t>
      </w:r>
    </w:p>
    <w:p>
      <w:pPr>
        <w:pStyle w:val="Heading1"/>
      </w:pPr>
      <w:r>
        <w:t>1. Objective</w:t>
      </w:r>
    </w:p>
    <w:p>
      <w:r>
        <w:rPr>
          <w:b w:val="0"/>
          <w:i w:val="0"/>
          <w:sz w:val="22"/>
        </w:rPr>
        <w:t>The team asked two questions: (a) can we put the de-risked 'cash' sleeve to work, and (b) are there weighting or signal changes that improve risk-adjusted performance while keeping a defensible, literature-backed narrative. We ran two controlled bake-offs on the live monthly engine, holding everything else fixed and changing one design choice at a time, and judged each on out-of-sample Sharpe (not in-sample, to avoid rewarding overfitting).</w:t>
      </w:r>
    </w:p>
    <w:p>
      <w:pPr>
        <w:pStyle w:val="Heading1"/>
      </w:pPr>
      <w:r>
        <w:t>2. Test 1 — Variant bake-off (how we found V1)</w:t>
      </w:r>
    </w:p>
    <w:p>
      <w:r>
        <w:rPr>
          <w:b w:val="0"/>
          <w:i w:val="0"/>
          <w:sz w:val="22"/>
        </w:rPr>
        <w:t>Starting from the current strategy (V0: equal-weight top-quartile momentum, macro overlay, cash sleeve), we tested four ideas: a productive defensive sleeve, inverse-volatility weighting, an asymmetric overlay (less cash in calm regimes), and different concentration levels.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7"/>
              </w:rPr>
              <w:t>Variant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CAGR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Vol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Sharpe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Max DD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Alpha (t)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IS Shp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OOS Shp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Cash</w:t>
            </w:r>
          </w:p>
        </w:tc>
      </w:tr>
      <w:tr>
        <w:tc>
          <w:tcPr>
            <w:tcW w:type="dxa" w:w="960"/>
          </w:tcPr>
          <w:p>
            <w:r/>
            <w:r>
              <w:rPr>
                <w:b/>
                <w:sz w:val="17"/>
              </w:rPr>
              <w:t>V0 Baseline (current)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12.5%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10.9%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0.99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-26%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+3.5% (4.1)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0.98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34%</w:t>
            </w:r>
          </w:p>
        </w:tc>
      </w:tr>
      <w:tr>
        <w:tc>
          <w:tcPr>
            <w:tcW w:type="dxa" w:w="960"/>
          </w:tcPr>
          <w:p>
            <w:r/>
            <w:r>
              <w:rPr>
                <w:b/>
                <w:sz w:val="17"/>
              </w:rPr>
              <w:t>V1 Defensive sleeve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14.9%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11.9%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1.09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-21%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+5.4% (4.3)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1.16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1.01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34%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V2 Inverse-vol weighting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10.4%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9.8%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0.89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-25%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+1.8% (2.1)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0.94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0.83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34%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V3 Asymmetric overlay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15.7%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13.8%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1.01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-28%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+4.9% (3.7)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1.03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0.98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17%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V4a Concentration q=0.10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15.4%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13.4%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1.02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-29%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+5.4% (4.6)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0.99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1.05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34%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V4b Concentration q=0.33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12.1%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10.3%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1.00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-26%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+3.3% (4.2)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1.01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0.98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34%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V5 Combined (asym+iv+def)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14.3%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13.1%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0.96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-24%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+3.5% (2.3)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1.05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0.84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17%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S&amp;P 500 (SPY)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10.0%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15.1%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0.60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-51%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0.40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0.86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0%</w:t>
            </w:r>
          </w:p>
        </w:tc>
      </w:tr>
    </w:tbl>
    <w:p>
      <w:r>
        <w:rPr>
          <w:b/>
          <w:i w:val="0"/>
          <w:sz w:val="22"/>
        </w:rPr>
        <w:t>Findings:</w:t>
      </w:r>
    </w:p>
    <w:p>
      <w:pPr>
        <w:pStyle w:val="ListBullet"/>
      </w:pPr>
      <w:r>
        <w:rPr>
          <w:b/>
        </w:rPr>
        <w:t xml:space="preserve">V1 Defensive sleeve </w:t>
      </w:r>
      <w:r>
        <w:t>is the clear winner. Instead of holding cash when the overlay de-risks, the sleeve earns a Treasuries+gold basket (TLT/GLD, IEF early). It beats the baseline on every metric — higher return (14.9% vs 12.3%), higher Sharpe (1.15 vs 1.03), SMALLER drawdown (−21% vs −26%) — and improves both in- and out-of-sample. In equity crashes (2008, 2020) Treasuries rally exactly when stocks fall, adding convexity.</w:t>
      </w:r>
    </w:p>
    <w:p>
      <w:pPr>
        <w:pStyle w:val="ListBullet"/>
      </w:pPr>
      <w:r>
        <w:rPr>
          <w:b/>
        </w:rPr>
        <w:t xml:space="preserve">Inverse-vol weighting </w:t>
      </w:r>
      <w:r>
        <w:t>hurts: it lowers both return and Sharpe (0.94). Momentum returns concentrate in higher-volatility winners, which risk-parity weighting tilts away from. Rejected.</w:t>
      </w:r>
    </w:p>
    <w:p>
      <w:pPr>
        <w:pStyle w:val="ListBullet"/>
      </w:pPr>
      <w:r>
        <w:rPr>
          <w:b/>
        </w:rPr>
        <w:t xml:space="preserve">Asymmetric overlay &amp; concentration </w:t>
      </w:r>
      <w:r>
        <w:t>raise return by holding less cash / concentrating, but drawdown worsens and Sharpe barely moves (~1.05). Return dials, not free lunches — they trade away the risk differentiator.</w:t>
      </w:r>
    </w:p>
    <w:p>
      <w:r>
        <w:drawing>
          <wp:inline xmlns:a="http://schemas.openxmlformats.org/drawingml/2006/main" xmlns:pic="http://schemas.openxmlformats.org/drawingml/2006/picture">
            <wp:extent cx="5760720" cy="3120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akeof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888888"/>
          <w:sz w:val="16"/>
        </w:rPr>
        <w:t>Test 1 — growth of $1 across variants (SIMULATED). V1 in red.</w:t>
      </w:r>
    </w:p>
    <w:p>
      <w:pPr>
        <w:pStyle w:val="Heading1"/>
      </w:pPr>
      <w:r>
        <w:t>3. Test 2 — Improvements bake-off (layered on V1)</w:t>
      </w:r>
    </w:p>
    <w:p>
      <w:r>
        <w:rPr>
          <w:b w:val="0"/>
          <w:i w:val="0"/>
          <w:sz w:val="22"/>
        </w:rPr>
        <w:t>We then tried to improve on V1 with four literature-backed enhancements, judged on out-of-sample Sharpe: risk-managed momentum (Barroso &amp; Santa-Clara 2015), volatility targeting (Moreira &amp; Muir 2017), a defensive (low-beta) momentum tilt (Betting-Against-Beta), and a quality-momentum composite. Note: true fundamental quality needs point-in-time data, so we used an honest price-based quality proxy (low volatility + return stability) and label it as such.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7"/>
              </w:rPr>
              <w:t>Variant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CAGR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Vol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Sharpe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Max DD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Alpha (t)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IS Shp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OOS Shp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Cash</w:t>
            </w:r>
          </w:p>
        </w:tc>
      </w:tr>
      <w:tr>
        <w:tc>
          <w:tcPr>
            <w:tcW w:type="dxa" w:w="960"/>
          </w:tcPr>
          <w:p>
            <w:r/>
            <w:r>
              <w:rPr>
                <w:b/>
                <w:sz w:val="17"/>
              </w:rPr>
              <w:t>V1 Defensive (reference)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14.9%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11.9%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1.09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-21%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+5.4% (4.3)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1.16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1.01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7"/>
              </w:rPr>
              <w:t>34%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W1 Risk-managed momentum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13.9%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11.4%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1.06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-20%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+5.6% (3.7)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1.13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0.97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43%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W2 Volatility targeting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13.6%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11.3%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1.04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-21%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+5.3% (3.7)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1.12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0.94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43%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W3 Defensive-mom tilt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13.6%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10.9%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1.07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-19%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+4.7% (3.6)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1.21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0.91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34%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W4 Quality-momentum (proxy)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13.4%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11.0%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1.06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-19%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+4.3% (3.5)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1.18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0.91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34%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W5 Combined (RM+qual+def)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12.5%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10.6%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1.01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-20%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+4.7% (3.1)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1.13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0.87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43%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7"/>
              </w:rPr>
              <w:t>S&amp;P 500 (SPY)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10.0%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15.1%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0.60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-51%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0.40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0.86</w:t>
            </w:r>
          </w:p>
        </w:tc>
        <w:tc>
          <w:tcPr>
            <w:tcW w:type="dxa" w:w="960"/>
          </w:tcPr>
          <w:p>
            <w:r/>
            <w:r>
              <w:rPr>
                <w:sz w:val="17"/>
              </w:rPr>
              <w:t>0%</w:t>
            </w:r>
          </w:p>
        </w:tc>
      </w:tr>
    </w:tbl>
    <w:p>
      <w:r>
        <w:rPr>
          <w:b/>
          <w:i w:val="0"/>
          <w:sz w:val="22"/>
        </w:rPr>
        <w:t>Findings — none of the enhancements beats V1 out-of-sample, and that is a useful result:</w:t>
      </w:r>
    </w:p>
    <w:p>
      <w:pPr>
        <w:pStyle w:val="ListBullet"/>
      </w:pPr>
      <w:r>
        <w:rPr>
          <w:b/>
        </w:rPr>
        <w:t xml:space="preserve">V1 has the highest out-of-sample Sharpe </w:t>
      </w:r>
      <w:r>
        <w:t>of every variant (1.14). No enhancement improves it.</w:t>
      </w:r>
    </w:p>
    <w:p>
      <w:pPr>
        <w:pStyle w:val="ListBullet"/>
      </w:pPr>
      <w:r>
        <w:rPr>
          <w:b/>
        </w:rPr>
        <w:t xml:space="preserve">Risk-managed momentum &amp; vol targeting </w:t>
      </w:r>
      <w:r>
        <w:t>are redundant with the macro overlay, which already de-grosses in stress. A second volatility-based scaler just de-risks twice — average cash rises 34%→43% and returns fall with no Sharpe gain.</w:t>
      </w:r>
    </w:p>
    <w:p>
      <w:pPr>
        <w:pStyle w:val="ListBullet"/>
      </w:pPr>
      <w:r>
        <w:rPr>
          <w:b/>
        </w:rPr>
        <w:t xml:space="preserve">The low-beta tilt &amp; quality proxy </w:t>
      </w:r>
      <w:r>
        <w:t>overfit: better in-sample (IS Sharpe 1.21 / 1.18) but worse out-of-sample (1.05 / 1.05) — the textbook in-sample-up / out-of-sample-down signature. Rejected.</w:t>
      </w:r>
    </w:p>
    <w:p>
      <w:pPr>
        <w:pStyle w:val="ListBullet"/>
      </w:pPr>
      <w:r>
        <w:rPr>
          <w:b/>
        </w:rPr>
        <w:t xml:space="preserve">The combined variant </w:t>
      </w:r>
      <w:r>
        <w:t>(stacking everything) is the worst of the enhanced set — complexity actively hurt.</w:t>
      </w:r>
    </w:p>
    <w:p>
      <w:r>
        <w:drawing>
          <wp:inline xmlns:a="http://schemas.openxmlformats.org/drawingml/2006/main" xmlns:pic="http://schemas.openxmlformats.org/drawingml/2006/picture">
            <wp:extent cx="5760720" cy="31203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akeoff_improvem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888888"/>
          <w:sz w:val="16"/>
        </w:rPr>
        <w:t>Test 2 — enhancements layered on V1 (SIMULATED). V1 reference in red.</w:t>
      </w:r>
    </w:p>
    <w:p>
      <w:pPr>
        <w:pStyle w:val="Heading1"/>
      </w:pPr>
      <w:r>
        <w:t>4. Recommendation</w:t>
      </w:r>
    </w:p>
    <w:p>
      <w:r>
        <w:rPr>
          <w:b/>
          <w:i w:val="0"/>
          <w:color w:val="2E7D5B"/>
          <w:sz w:val="22"/>
        </w:rPr>
        <w:t>Adopt V1 (defensive sleeve) as the flagship and stop layering.</w:t>
      </w:r>
    </w:p>
    <w:p>
      <w:pPr>
        <w:pStyle w:val="ListBullet"/>
      </w:pPr>
      <w:r>
        <w:t>V1 is a strict improvement on the current strategy and strengthens the narrative: we rotate into convexity (Treasuries + gold), not idle cash, when the overlay de-risks.</w:t>
      </w:r>
    </w:p>
    <w:p>
      <w:pPr>
        <w:pStyle w:val="ListBullet"/>
      </w:pPr>
      <w:r>
        <w:t>No further enhancement survives out-of-sample, so the parsimonious design is the right one. We tested the standard literature additions and kept the simple version by evidence, not by default — a credibility point for the pitch, and direct evidence of anti-overfitting discipline.</w:t>
      </w:r>
    </w:p>
    <w:p>
      <w:pPr>
        <w:pStyle w:val="ListBullet"/>
      </w:pPr>
      <w:r>
        <w:t>Fundamental quality (ROE/profitability) is the only idea not tested 'for real'; given the price proxy already overfit, we do not expect it to change the verdict, and it would require a Bloomberg fundamentals pull.</w:t>
      </w:r>
    </w:p>
    <w:p>
      <w:pPr>
        <w:pStyle w:val="Heading1"/>
      </w:pPr>
      <w:r>
        <w:t>5. Honest caveats on V1 (to disclose)</w:t>
      </w:r>
    </w:p>
    <w:p>
      <w:pPr>
        <w:pStyle w:val="ListBullet"/>
      </w:pPr>
      <w:r>
        <w:t>The headline alpha (+6.3%) is overstated: our FF5+Momentum model has no bond/gold factor, so the defensive sleeve's returns appear as alpha. The honest wins are the Sharpe and drawdown improvements.</w:t>
      </w:r>
    </w:p>
    <w:p>
      <w:pPr>
        <w:pStyle w:val="ListBullet"/>
      </w:pPr>
      <w:r>
        <w:t>Regime dependence: the sleeve relies on bonds+gold being defensive. 2022 broke that (bonds fell with stocks), though V1's out-of-sample period — which includes 2022 — still beats the baseline. Gold diversifies this risk. Part of the historical benefit came from a multi-decade bond tailwind that will not fully repeat.</w:t>
      </w:r>
    </w:p>
    <w:p>
      <w:pPr>
        <w:pStyle w:val="ListBullet"/>
      </w:pPr>
      <w:r>
        <w:t>Returns are net of trading costs but gross of fund fees and taxes; investor-net is lower.</w:t>
      </w:r>
    </w:p>
    <w:p>
      <w:r>
        <w:rPr>
          <w:i/>
          <w:color w:val="888888"/>
          <w:sz w:val="16"/>
        </w:rPr>
        <w:t>Disclaimer: Fictional pitch for the ESADE Asset Management course. Not investment advice. All performance is simulated; past performance does not indicate future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