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In-House ESG Score — Methodology</w:t>
      </w:r>
    </w:p>
    <w:p>
      <w:r>
        <w:rPr>
          <w:b/>
        </w:rPr>
        <w:t>ESADE Sustainable European Equity Fund</w:t>
      </w:r>
      <w:r>
        <w:rPr>
          <w:i/>
        </w:rPr>
        <w:t xml:space="preserve">   ·   how the in-house ESG z-score and E / S / G pillars are constructed   ·   2026-05-22</w:t>
      </w:r>
    </w:p>
    <w:p>
      <w:r>
        <w:t>Rather than adopt a single third-party ESG rating — vendors disagree materially (Berg, Koelbel &amp; Rigobon, 2022) — the fund builds its own transparent score from raw indicators. The score is a sector-relative composite: a company is judged against peers in its own sector, not against the whole market. The pipeline records it three ways — the raw composite z-score (in_house_z), its percentile rank (ESG_score), and the rescaled 0–100 pillar scores (E_score / S_score / G_score).</w:t>
      </w:r>
    </w:p>
    <w:p>
      <w:pPr>
        <w:pStyle w:val="Heading2"/>
      </w:pPr>
      <w:r>
        <w:t>How the score is built — five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36"/>
        <w:gridCol w:w="7200"/>
      </w:tblGrid>
      <w:tr>
        <w:tc>
          <w:tcPr>
            <w:tcW w:type="dxa" w:w="2736"/>
          </w:tcPr>
          <w:p>
            <w:r/>
            <w:r>
              <w:rPr>
                <w:b/>
              </w:rPr>
              <w:t>1 · Indicators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Ten indicators (4 Environmental, 3 Social, 3 Governance), Bloomberg as primary source. E: carbon intensity, Scope-3 disclosure (binary), water intensity, renewable-energy %. S: workforce gender, lost-time injury rate, human-rights policy (binary). G: board independence, board gender, ESG-linked pay (binary).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2 · Sector-relative z-score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Each indicator is winsorised at ±3σ to cap outliers, then converted to a z-score. Hybrid basis: the z-score is computed within the company's own sector when that sector has ≥10 constituents, and across the full universe for smaller sectors (too few peers for a stable sector mean).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3 · Pillar z-scores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Indicator z-scores are aggregated into an E, S and G pillar z-score. Weighting within each pillar is SASB-materiality based — each sector carries its own indicator weights from the SASB Materiality Map, so an energy company and a bank are not judged on identical priorities.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4 · Cross-pillar composite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The three pillar z-scores are combined into the overall in-house ESG z-score with fixed weights: 50% Environmental, 20% Social, 30% Governance (methodology v1.1 default).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5 · Percentile rank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The composite z-score is ranked across the 224 scored companies. That percentile (0–100) is the ESG_score carried into portfolio selection; the E / S / G pillar scores shown elsewhere are the pillar z-scores min-max rescaled to 0–100.</w:t>
            </w:r>
          </w:p>
        </w:tc>
      </w:tr>
    </w:tbl>
    <w:p>
      <w:pPr>
        <w:pStyle w:val="Heading2"/>
      </w:pPr>
      <w:r>
        <w:t>The ten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518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Pillar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E1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Carbon intensity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Environmental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E2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Scope-3 disclosure (binary)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Environmental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E3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Water intensity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Environmental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E4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Renewable energy %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Environmental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S1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Workforce gender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Social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S2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Lost-time injury rate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Social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S3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Human-rights policy (binary)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Social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G1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Board independence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Governance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G2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Board gender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Governance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</w:rPr>
              <w:t>G3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ESG-linked pay (binary)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Governance</w:t>
            </w:r>
          </w:p>
        </w:tc>
      </w:tr>
    </w:tbl>
    <w:p>
      <w:pPr>
        <w:pStyle w:val="Heading2"/>
      </w:pPr>
      <w:r>
        <w:t>Cross-pillar formula</w:t>
      </w:r>
    </w:p>
    <w:p>
      <w:pPr>
        <w:jc w:val="center"/>
      </w:pPr>
      <w:r>
        <w:rPr>
          <w:b/>
          <w:sz w:val="22"/>
        </w:rPr>
        <w:t>in-house ESG z  =  0.50 · E_pillar_z  +  0.20 · S_pillar_z  +  0.30 · G_pillar_z</w:t>
      </w:r>
    </w:p>
    <w:p>
      <w:pPr>
        <w:pStyle w:val="Heading2"/>
      </w:pPr>
      <w:r>
        <w:t>Worked examples (portfolio holdings)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736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Holding</w:t>
            </w:r>
          </w:p>
        </w:tc>
        <w:tc>
          <w:tcPr>
            <w:tcW w:type="dxa" w:w="122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 pillar z</w:t>
            </w:r>
          </w:p>
        </w:tc>
        <w:tc>
          <w:tcPr>
            <w:tcW w:type="dxa" w:w="122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S pillar z</w:t>
            </w:r>
          </w:p>
        </w:tc>
        <w:tc>
          <w:tcPr>
            <w:tcW w:type="dxa" w:w="122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G pillar z</w:t>
            </w:r>
          </w:p>
        </w:tc>
        <w:tc>
          <w:tcPr>
            <w:tcW w:type="dxa" w:w="2520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0.50·E + 0.20·S + 0.30·G</w:t>
            </w:r>
          </w:p>
        </w:tc>
        <w:tc>
          <w:tcPr>
            <w:tcW w:type="dxa" w:w="1224"/>
            <w:shd w:val="clear" w:color="auto" w:fill="1F4E78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Percentile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Alfa Laval AB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+1.415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-0.370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+0.051</w:t>
            </w:r>
          </w:p>
        </w:tc>
        <w:tc>
          <w:tcPr>
            <w:tcW w:type="dxa" w:w="2520"/>
          </w:tcPr>
          <w:p>
            <w:pPr>
              <w:jc w:val="right"/>
            </w:pPr>
            <w:r/>
            <w:r>
              <w:rPr>
                <w:b w:val="0"/>
              </w:rPr>
              <w:t>+0.648  (z +0.648)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99.6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Klepierre SA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+0.895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+0.257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-0.625</w:t>
            </w:r>
          </w:p>
        </w:tc>
        <w:tc>
          <w:tcPr>
            <w:tcW w:type="dxa" w:w="2520"/>
          </w:tcPr>
          <w:p>
            <w:pPr>
              <w:jc w:val="right"/>
            </w:pPr>
            <w:r/>
            <w:r>
              <w:rPr>
                <w:b w:val="0"/>
              </w:rPr>
              <w:t>+0.311  (z +0.311)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83.5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Subsea 7 S.A.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+0.818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-0.940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-0.843</w:t>
            </w:r>
          </w:p>
        </w:tc>
        <w:tc>
          <w:tcPr>
            <w:tcW w:type="dxa" w:w="2520"/>
          </w:tcPr>
          <w:p>
            <w:pPr>
              <w:jc w:val="right"/>
            </w:pPr>
            <w:r/>
            <w:r>
              <w:rPr>
                <w:b w:val="0"/>
              </w:rPr>
              <w:t>-0.032  (z -0.032)</w:t>
            </w:r>
          </w:p>
        </w:tc>
        <w:tc>
          <w:tcPr>
            <w:tcW w:type="dxa" w:w="1224"/>
          </w:tcPr>
          <w:p>
            <w:pPr>
              <w:jc w:val="right"/>
            </w:pPr>
            <w:r/>
            <w:r>
              <w:rPr>
                <w:b w:val="0"/>
              </w:rPr>
              <w:t>55.7</w:t>
            </w:r>
          </w:p>
        </w:tc>
      </w:tr>
    </w:tbl>
    <w:p>
      <w:r>
        <w:rPr>
          <w:i/>
        </w:rPr>
        <w:t>The composite z reproduces exactly from the three pillar z-scores — the 50/20/30 weighting is verifiable name by name.</w:t>
      </w:r>
    </w:p>
    <w:p>
      <w:pPr>
        <w:pStyle w:val="Heading2"/>
      </w:pPr>
      <w:r>
        <w:t>Source and reproducibility</w:t>
      </w:r>
    </w:p>
    <w:p>
      <w:r>
        <w:rPr>
          <w:b/>
        </w:rPr>
        <w:t xml:space="preserve">Source.  </w:t>
      </w:r>
      <w:r>
        <w:t>The in-house z, percentile and pillar z-scores are produced by the ESG specialist's screening workbook (data/provided/Portfolio_Screening_Output.xlsx, sheet ‘Methodology Summary’ and ‘Stage 2 — Full ranking’). Notebook 05 imports these columns; it does not recompute them.</w:t>
      </w:r>
    </w:p>
    <w:p>
      <w:r>
        <w:rPr>
          <w:b/>
        </w:rPr>
        <w:t xml:space="preserve">Reproducibility.  </w:t>
      </w:r>
      <w:r>
        <w:t>Steps 3–5 (pillar z → composite z → percentile) are fully reproducible from the workbook and verified above. Steps 1–2 (raw indicators → sector-relative winsorised z) are documented in the workbook but rely on the specialist's underlying Bloomberg indicator data, which sits outside the repository. This is a disclosed scope limitation.</w:t>
      </w:r>
    </w:p>
    <w:p>
      <w:r>
        <w:rPr>
          <w:i/>
          <w:color w:val="808080"/>
          <w:sz w:val="17"/>
        </w:rPr>
        <w:t>Academic prototype — not a regulated investment product or investment advice. ESADE MSc Finance, final group assignment.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