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52"/>
        </w:rPr>
        <w:t>ESADE Sustainable European Equity Fund</w:t>
      </w:r>
    </w:p>
    <w:p/>
    <w:p>
      <w:pPr>
        <w:jc w:val="center"/>
      </w:pPr>
      <w:r>
        <w:rPr>
          <w:b w:val="0"/>
          <w:color w:val="2E75B6"/>
          <w:sz w:val="32"/>
        </w:rPr>
        <w:t>Methodology Report &amp; Portfolio Construction</w:t>
      </w:r>
    </w:p>
    <w:p/>
    <w:p>
      <w:pPr>
        <w:jc w:val="center"/>
      </w:pPr>
      <w:r>
        <w:rPr>
          <w:b w:val="0"/>
          <w:i/>
          <w:color w:val="707070"/>
          <w:sz w:val="24"/>
        </w:rPr>
        <w:t>An AI-Agent Research Pipeline for Sustainable Portfolio Construction</w:t>
      </w:r>
    </w:p>
    <w:p/>
    <w:p/>
    <w:p/>
    <w:p>
      <w:pPr>
        <w:jc w:val="center"/>
      </w:pPr>
      <w:r>
        <w:rPr>
          <w:color w:val="1A1A2E"/>
          <w:sz w:val="24"/>
        </w:rPr>
        <w:t>ESADE MSc Finance  |  Final Group Assignment</w:t>
      </w:r>
    </w:p>
    <w:p>
      <w:pPr>
        <w:jc w:val="center"/>
      </w:pPr>
      <w:r>
        <w:rPr>
          <w:color w:val="707070"/>
          <w:sz w:val="22"/>
        </w:rPr>
        <w:t>Submission: 22 May 2026  |  Portfolio Vintage: 2026-05-20</w:t>
      </w:r>
    </w:p>
    <w:p/>
    <w:p/>
    <w:p/>
    <w:p>
      <w:pPr>
        <w:jc w:val="center"/>
      </w:pPr>
      <w:r>
        <w:rPr>
          <w:i/>
          <w:color w:val="707070"/>
          <w:sz w:val="20"/>
        </w:rPr>
        <w:t>Academic Prototype — Not Financial Advice or a Regulated Investment Product</w:t>
      </w:r>
    </w:p>
    <w:p>
      <w:r>
        <w:br w:type="page"/>
      </w:r>
    </w:p>
    <w:p>
      <w:pPr>
        <w:pStyle w:val="Heading1"/>
        <w:spacing w:before="360" w:after="120"/>
      </w:pPr>
      <w:r>
        <w:rPr>
          <w:b/>
          <w:color w:val="1F497D"/>
        </w:rPr>
        <w:t>Table of Contents</w:t>
      </w:r>
    </w:p>
    <w:p>
      <w:pPr>
        <w:spacing w:before="200" w:after="40"/>
      </w:pPr>
      <w:r>
        <w:rPr>
          <w:b/>
          <w:color w:val="1F497D"/>
          <w:sz w:val="24"/>
        </w:rPr>
        <w:t>Part I — Main Report</w:t>
      </w:r>
    </w:p>
    <w:p>
      <w:pPr>
        <w:spacing w:after="0"/>
      </w:pPr>
      <w:r>
        <w:rPr>
          <w:color w:val="1A1A2E"/>
          <w:sz w:val="22"/>
        </w:rPr>
        <w:t xml:space="preserve">    Section 1 — Executive Summary</w:t>
      </w:r>
    </w:p>
    <w:p>
      <w:pPr>
        <w:spacing w:after="0"/>
      </w:pPr>
      <w:r>
        <w:rPr>
          <w:color w:val="1A1A2E"/>
          <w:sz w:val="22"/>
        </w:rPr>
        <w:t xml:space="preserve">    Section 2 — Investment Mandate &amp; Strategic Thesis</w:t>
      </w:r>
    </w:p>
    <w:p>
      <w:pPr>
        <w:spacing w:after="0"/>
      </w:pPr>
      <w:r>
        <w:rPr>
          <w:color w:val="1A1A2E"/>
          <w:sz w:val="22"/>
        </w:rPr>
        <w:t xml:space="preserve">    Section 3 — Universe Construction &amp; Data Sources</w:t>
      </w:r>
    </w:p>
    <w:p>
      <w:pPr>
        <w:spacing w:after="0"/>
      </w:pPr>
      <w:r>
        <w:rPr>
          <w:color w:val="1A1A2E"/>
          <w:sz w:val="22"/>
        </w:rPr>
        <w:t xml:space="preserve">    Section 4 — Quantitative Financial Screening</w:t>
      </w:r>
    </w:p>
    <w:p>
      <w:pPr>
        <w:spacing w:after="0"/>
      </w:pPr>
      <w:r>
        <w:rPr>
          <w:color w:val="1A1A2E"/>
          <w:sz w:val="22"/>
        </w:rPr>
        <w:t xml:space="preserve">    Section 5 — ESG Scoring Methodology</w:t>
      </w:r>
    </w:p>
    <w:p>
      <w:pPr>
        <w:spacing w:after="0"/>
      </w:pPr>
      <w:r>
        <w:rPr>
          <w:color w:val="1A1A2E"/>
          <w:sz w:val="22"/>
        </w:rPr>
        <w:t xml:space="preserve">    Section 6 — Climate Risk &amp; Carbon Intensity</w:t>
      </w:r>
    </w:p>
    <w:p>
      <w:pPr>
        <w:spacing w:after="0"/>
      </w:pPr>
      <w:r>
        <w:rPr>
          <w:color w:val="1A1A2E"/>
          <w:sz w:val="22"/>
        </w:rPr>
        <w:t xml:space="preserve">    Section 7 — Biodiversity &amp; Nature Risk</w:t>
      </w:r>
    </w:p>
    <w:p>
      <w:pPr>
        <w:spacing w:after="0"/>
      </w:pPr>
      <w:r>
        <w:rPr>
          <w:color w:val="1A1A2E"/>
          <w:sz w:val="22"/>
        </w:rPr>
        <w:t xml:space="preserve">    Section 8 — EU Taxonomy &amp; SFDR Compliance</w:t>
      </w:r>
    </w:p>
    <w:p>
      <w:pPr>
        <w:spacing w:after="0"/>
      </w:pPr>
      <w:r>
        <w:rPr>
          <w:color w:val="1A1A2E"/>
          <w:sz w:val="22"/>
        </w:rPr>
        <w:t xml:space="preserve">    Section 9 — Greenwashing Assessment Framework</w:t>
      </w:r>
    </w:p>
    <w:p>
      <w:pPr>
        <w:spacing w:after="0"/>
      </w:pPr>
      <w:r>
        <w:rPr>
          <w:color w:val="1A1A2E"/>
          <w:sz w:val="22"/>
        </w:rPr>
        <w:t xml:space="preserve">    Section 10 — Portfolio Construction &amp; Optimisation</w:t>
      </w:r>
    </w:p>
    <w:p>
      <w:pPr>
        <w:spacing w:after="0"/>
      </w:pPr>
      <w:r>
        <w:rPr>
          <w:color w:val="1A1A2E"/>
          <w:sz w:val="22"/>
        </w:rPr>
        <w:t xml:space="preserve">    Section 11 — Portfolio Results &amp; Attribution</w:t>
      </w:r>
    </w:p>
    <w:p>
      <w:pPr>
        <w:spacing w:after="0"/>
      </w:pPr>
      <w:r>
        <w:rPr>
          <w:color w:val="1A1A2E"/>
          <w:sz w:val="22"/>
        </w:rPr>
        <w:t xml:space="preserve">    Section 12 — Limitations, Oversight &amp; Conclusion</w:t>
      </w:r>
    </w:p>
    <w:p>
      <w:pPr>
        <w:spacing w:before="200" w:after="40"/>
      </w:pPr>
      <w:r>
        <w:rPr>
          <w:b/>
          <w:color w:val="1F497D"/>
          <w:sz w:val="24"/>
        </w:rPr>
        <w:t>Part II — Appendices</w:t>
      </w:r>
    </w:p>
    <w:p>
      <w:pPr>
        <w:spacing w:after="0"/>
      </w:pPr>
      <w:r>
        <w:rPr>
          <w:color w:val="1A1A2E"/>
          <w:sz w:val="22"/>
        </w:rPr>
        <w:t xml:space="preserve">    Appendix A — Pipeline Architecture &amp; Agent Guide</w:t>
      </w:r>
    </w:p>
    <w:p>
      <w:pPr>
        <w:spacing w:after="0"/>
      </w:pPr>
      <w:r>
        <w:rPr>
          <w:color w:val="1A1A2E"/>
          <w:sz w:val="22"/>
        </w:rPr>
        <w:t xml:space="preserve">    Appendix B — Data Dictionary</w:t>
      </w:r>
    </w:p>
    <w:p>
      <w:pPr>
        <w:spacing w:after="0"/>
      </w:pPr>
      <w:r>
        <w:rPr>
          <w:color w:val="1A1A2E"/>
          <w:sz w:val="22"/>
        </w:rPr>
        <w:t xml:space="preserve">    Appendix C — AI Use Statement</w:t>
      </w:r>
    </w:p>
    <w:p>
      <w:pPr>
        <w:spacing w:after="0"/>
      </w:pPr>
      <w:r>
        <w:rPr>
          <w:color w:val="1A1A2E"/>
          <w:sz w:val="22"/>
        </w:rPr>
        <w:t xml:space="preserve">    Appendix D — Portfolio Factsheet (One-Pager)</w:t>
      </w:r>
    </w:p>
    <w:p>
      <w:pPr>
        <w:spacing w:after="0"/>
      </w:pPr>
      <w:r>
        <w:rPr>
          <w:color w:val="1A1A2E"/>
          <w:sz w:val="22"/>
        </w:rPr>
        <w:t xml:space="preserve">    Appendix E — Human Override Decision Log</w:t>
      </w:r>
    </w:p>
    <w:p>
      <w:pPr>
        <w:spacing w:after="0"/>
      </w:pPr>
      <w:r>
        <w:rPr>
          <w:color w:val="1A1A2E"/>
          <w:sz w:val="22"/>
        </w:rPr>
        <w:t xml:space="preserve">    Appendix F — Fundamental Quality Results (6-Metric Screen)</w:t>
      </w:r>
    </w:p>
    <w:p>
      <w:r>
        <w:br w:type="page"/>
      </w:r>
    </w:p>
    <w:p>
      <w:pPr>
        <w:jc w:val="center"/>
      </w:pPr>
      <w:r>
        <w:rPr>
          <w:b/>
          <w:color w:val="1F497D"/>
          <w:sz w:val="40"/>
        </w:rPr>
        <w:t>PART I — MAIN REPORT</w:t>
      </w:r>
    </w:p>
    <w:p/>
    <w:p/>
    <w:p>
      <w:pPr>
        <w:pStyle w:val="Heading1"/>
        <w:spacing w:before="360" w:after="120"/>
      </w:pPr>
      <w:r>
        <w:rPr>
          <w:b/>
          <w:color w:val="1F497D"/>
        </w:rPr>
        <w:t>Section 1: Executive Summary</w:t>
      </w:r>
    </w:p>
    <w:p>
      <w:pPr>
        <w:spacing w:after="120" w:before="0"/>
      </w:pPr>
      <w:r>
        <w:rPr>
          <w:b w:val="0"/>
          <w:i w:val="0"/>
          <w:color w:val="1A1A2E"/>
          <w:sz w:val="22"/>
        </w:rPr>
        <w:t>This report documents the construction of the ESADE Sustainable European Equity Fund, a concentrated long-only portfolio of 30 European listed equities built through an AI-agent research pipeline. The pipeline integrates quantitative financial analysis, Sustainability Accounting Standards Board (SASB)-adjusted Environmental, Social and Governance scoring, EU Taxonomy and SFDR Article 8 compliance screening, biodiversity risk proxies, and a forensic greenwashing assessment framework. The deliverable is an academic prototype produced for ESADE MSc Finance and does not constitute financial advice or a regulated investment product.</w:t>
      </w:r>
    </w:p>
    <w:p>
      <w:pPr>
        <w:pStyle w:val="Heading2"/>
        <w:spacing w:before="200" w:after="120"/>
      </w:pPr>
      <w:r>
        <w:rPr>
          <w:b/>
          <w:color w:val="2E75B6"/>
        </w:rPr>
        <w:t>1.1  Headline Portfolio Metrics</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c>
          <w:tcPr>
            <w:tcW w:type="dxa" w:w="255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Benchmark / Universe</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Variance</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Number of holdings</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30</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15–25 (mandate target 20)</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Out of range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Number of sectors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7</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 5 (mandate minimum)</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 vs minimum</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Maximum single weight</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3.6%</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 10% (mandate cap)</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Well within cap</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Weighted ESG score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88.1 / 100</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Universe avg: 43.0</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+45.1 pts uplift</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Weighted Sharpe ratio</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0.689</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Universe median: 0.45</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+0.24 vs median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WACI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107.6 tCO₂e/€m</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STOXX Europe 600: ~150</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Elevated — see §6</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Holdings on watchlist</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Hard exclusions applied</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22 companies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From 213 universe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10.3% of universe</w:t>
            </w:r>
          </w:p>
        </w:tc>
      </w:tr>
    </w:tbl>
    <w:p/>
    <w:p>
      <w:pPr>
        <w:pStyle w:val="Heading2"/>
        <w:spacing w:before="200" w:after="120"/>
      </w:pPr>
      <w:r>
        <w:rPr>
          <w:b/>
          <w:color w:val="2E75B6"/>
        </w:rPr>
        <w:t>1.2  Methodology Highlights</w:t>
      </w:r>
    </w:p>
    <w:p>
      <w:pPr>
        <w:spacing w:after="120" w:before="0"/>
      </w:pPr>
      <w:r>
        <w:rPr>
          <w:b w:val="0"/>
          <w:i w:val="0"/>
          <w:color w:val="1A1A2E"/>
          <w:sz w:val="22"/>
        </w:rPr>
        <w:t>The pipeline implements 13 agent roles across 12 Jupyter notebooks. Eight agents are fully automated (data ingestion, financial analysis, ESG scoring, biodiversity, EU regulation, portfolio construction, reporting, mandate); two are manual (RAG Operator for document intelligence and greenwashing); and three are hybrid (data quality and human review). Agents communicate exclusively through dated CSV and JSON files, ensuring any single notebook can be re-run without cascading side-effects. Orchestration uses n8n.cloud as a no-code workflow connector.</w:t>
      </w:r>
    </w:p>
    <w:p>
      <w:pPr>
        <w:spacing w:after="120" w:before="0"/>
      </w:pPr>
      <w:r>
        <w:rPr>
          <w:b w:val="0"/>
          <w:i w:val="0"/>
          <w:color w:val="1A1A2E"/>
          <w:sz w:val="22"/>
        </w:rPr>
        <w:t>The composite ranking score blends ESG quality (40% weight) with financial quality (60% weight). The financial input is the composite_financial_score produced by Agent 10, which is itself a weighted aggregate of four accounting-based metrics — M-01 ROIC–WACC spread, M-02 FCF Conversion, M-03 FCCR + Net Debt/EBITDA, and M-04 Sloan Accruals (see Section 4.2). This weighting reflects the fund's pension-style emphasis on fundamental financial quality while preserving meaningful exposure to ESG considerations as a forward-looking risk signal.</w:t>
      </w:r>
    </w:p>
    <w:p>
      <w:pPr>
        <w:pStyle w:val="Heading2"/>
        <w:spacing w:before="200" w:after="120"/>
      </w:pPr>
      <w:r>
        <w:rPr>
          <w:b/>
          <w:color w:val="2E75B6"/>
        </w:rPr>
        <w:t>1.3  Headline Findings</w:t>
      </w:r>
    </w:p>
    <w:p>
      <w:pPr>
        <w:spacing w:after="120" w:before="0"/>
      </w:pPr>
      <w:r>
        <w:rPr>
          <w:b w:val="0"/>
          <w:i w:val="0"/>
          <w:color w:val="1A1A2E"/>
          <w:sz w:val="22"/>
        </w:rPr>
        <w:t>Three findings from the analysis are highlighted here and developed in subsequent sections:</w:t>
      </w:r>
    </w:p>
    <w:p>
      <w:pPr>
        <w:pStyle w:val="ListBullet"/>
        <w:spacing w:after="60"/>
        <w:ind w:left="283"/>
      </w:pPr>
      <w:r>
        <w:rPr>
          <w:b/>
          <w:color w:val="1A1A2E"/>
          <w:sz w:val="22"/>
        </w:rPr>
        <w:t xml:space="preserve">(i) </w:t>
      </w:r>
      <w:r>
        <w:rPr>
          <w:color w:val="1A1A2E"/>
          <w:sz w:val="22"/>
        </w:rPr>
        <w:t>the 30-stock portfolio delivers a 45.1-point ESG uplift versus the universe average while remaining within all sector, concentration, and quantitative constraints set by the mandate;</w:t>
      </w:r>
    </w:p>
    <w:p>
      <w:pPr>
        <w:pStyle w:val="ListBullet"/>
        <w:spacing w:after="60"/>
        <w:ind w:left="283"/>
      </w:pPr>
      <w:r>
        <w:rPr>
          <w:b/>
          <w:color w:val="1A1A2E"/>
          <w:sz w:val="22"/>
        </w:rPr>
        <w:t xml:space="preserve">(ii) </w:t>
      </w:r>
      <w:r>
        <w:rPr>
          <w:color w:val="1A1A2E"/>
          <w:sz w:val="22"/>
        </w:rPr>
        <w:t>Financials and Industrials together account for 83% of the portfolio by weight, but no single holding exceeds 3.6% — well inside the 10.0% cap;</w:t>
      </w:r>
    </w:p>
    <w:p>
      <w:pPr>
        <w:pStyle w:val="ListBullet"/>
        <w:spacing w:after="60"/>
        <w:ind w:left="283"/>
      </w:pPr>
      <w:r>
        <w:rPr>
          <w:b/>
          <w:color w:val="1A1A2E"/>
          <w:sz w:val="22"/>
        </w:rPr>
        <w:t xml:space="preserve">(iii) </w:t>
      </w:r>
      <w:r>
        <w:rPr>
          <w:color w:val="1A1A2E"/>
          <w:sz w:val="22"/>
        </w:rPr>
        <w:t>the Weighted Average Carbon Intensity of 107.6 tCO₂e per €m of revenue is elevated relative to the STOXX Europe 600 benchmark estimate, driven by two materials-sector holdings whose transition narratives offset their current emissions snapshot.</w:t>
      </w:r>
    </w:p>
    <w:p>
      <w:pPr>
        <w:pStyle w:val="Heading2"/>
        <w:spacing w:before="200" w:after="120"/>
      </w:pPr>
      <w:r>
        <w:rPr>
          <w:b/>
          <w:color w:val="2E75B6"/>
        </w:rPr>
        <w:t>1.4  Known Limitations Acknowledged</w:t>
      </w:r>
    </w:p>
    <w:p>
      <w:pPr>
        <w:spacing w:after="120" w:before="0"/>
      </w:pPr>
      <w:r>
        <w:rPr>
          <w:b w:val="0"/>
          <w:i w:val="0"/>
          <w:color w:val="1A1A2E"/>
          <w:sz w:val="22"/>
        </w:rPr>
        <w:t>Three limitations should be borne in mind when reading the headline figures. First, the investable universe is the top 170 STOXX Europe 600 constituents by 10-year total return — a course-prescribed dataset that introduces survivorship and look-ahead bias. Second, Greenwashing 8-Test screening is partially complete; 1–3 portfolio holdings may shift once the full 40-company PDF library is processed. Third, the majority of portfolio holdings use sector-median imputation for carbon intensity due to absent Bloomberg primary-source data — the WACI figure should therefore be treated as an order-of-magnitude estimate rather than a precise carbon footprint.</w:t>
      </w:r>
    </w:p>
    <w:p>
      <w:r>
        <w:br w:type="page"/>
      </w:r>
    </w:p>
    <w:p>
      <w:pPr>
        <w:pStyle w:val="Heading1"/>
        <w:spacing w:before="360" w:after="120"/>
      </w:pPr>
      <w:r>
        <w:rPr>
          <w:b/>
          <w:color w:val="1F497D"/>
        </w:rPr>
        <w:t>Section 2: Investment Mandate &amp; Strategic Thesis</w:t>
      </w:r>
    </w:p>
    <w:p>
      <w:pPr>
        <w:pStyle w:val="Heading2"/>
        <w:spacing w:before="200" w:after="120"/>
      </w:pPr>
      <w:r>
        <w:rPr>
          <w:b/>
          <w:color w:val="2E75B6"/>
        </w:rPr>
        <w:t>2.1  Fund Identity &amp; Strategy</w:t>
      </w:r>
    </w:p>
    <w:tbl>
      <w:tblPr>
        <w:tblStyle w:val="TableGrid"/>
        <w:tblW w:type="auto" w:w="0"/>
        <w:tblLook w:firstColumn="1" w:firstRow="1" w:lastColumn="0" w:lastRow="0" w:noHBand="0" w:noVBand="1" w:val="04A0"/>
      </w:tblPr>
      <w:tblGrid>
        <w:gridCol w:w="4703"/>
        <w:gridCol w:w="4703"/>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Parameter</w:t>
            </w:r>
          </w:p>
        </w:tc>
        <w:tc>
          <w:tcPr>
            <w:tcW w:type="dxa" w:w="6803"/>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Fund name</w:t>
            </w:r>
          </w:p>
        </w:tc>
        <w:tc>
          <w:tcPr>
            <w:tcW w:type="dxa" w:w="680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ESADE Sustainable European Equity Fund</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Strategy</w:t>
            </w:r>
          </w:p>
        </w:tc>
        <w:tc>
          <w:tcPr>
            <w:tcW w:type="dxa" w:w="680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Long Only concentrated European equity</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Benchmark</w:t>
            </w:r>
          </w:p>
        </w:tc>
        <w:tc>
          <w:tcPr>
            <w:tcW w:type="dxa" w:w="680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STOXX Europe 600</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Base currency</w:t>
            </w:r>
          </w:p>
        </w:tc>
        <w:tc>
          <w:tcPr>
            <w:tcW w:type="dxa" w:w="680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EUR</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Target holdings</w:t>
            </w:r>
          </w:p>
        </w:tc>
        <w:tc>
          <w:tcPr>
            <w:tcW w:type="dxa" w:w="680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 (range 15–25)</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Maximum single weight</w:t>
            </w:r>
          </w:p>
        </w:tc>
        <w:tc>
          <w:tcPr>
            <w:tcW w:type="dxa" w:w="680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10.0% of portfolio NAV</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Minimum sectors</w:t>
            </w:r>
          </w:p>
        </w:tc>
        <w:tc>
          <w:tcPr>
            <w:tcW w:type="dxa" w:w="680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 BICS Level-1 sectors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Investable universe</w:t>
            </w:r>
          </w:p>
        </w:tc>
        <w:tc>
          <w:tcPr>
            <w:tcW w:type="dxa" w:w="680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Top 170 STOXX Europe 600 by 10-year total return (213 post-merge)</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Document vintage</w:t>
            </w:r>
          </w:p>
        </w:tc>
        <w:tc>
          <w:tcPr>
            <w:tcW w:type="dxa" w:w="680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Generated from portfolio dated 2026-05-20</w:t>
            </w:r>
          </w:p>
        </w:tc>
      </w:tr>
    </w:tbl>
    <w:p/>
    <w:p>
      <w:pPr>
        <w:pStyle w:val="Heading2"/>
        <w:spacing w:before="200" w:after="120"/>
      </w:pPr>
      <w:r>
        <w:rPr>
          <w:b/>
          <w:color w:val="2E75B6"/>
        </w:rPr>
        <w:t>2.2  Investment Thesis</w:t>
      </w:r>
    </w:p>
    <w:p>
      <w:pPr>
        <w:spacing w:after="120" w:before="0"/>
      </w:pPr>
      <w:r>
        <w:rPr>
          <w:b w:val="0"/>
          <w:i/>
          <w:color w:val="1A1A2E"/>
          <w:sz w:val="22"/>
        </w:rPr>
        <w:t>We construct a concentrated long-only European equity portfolio of 15–25 holdings by integrating fundamental financial quality with best-in-class ESG credentials, verified against EU Taxonomy alignment and independently screened for greenwashing. We believe companies with credible sustainability commitments carry lower regulatory, reputational, and transition risk over a 5-year horizon. All exclusions and overrides are documented, creating an auditable process that can withstand scrutiny under SFDR Article 8 principles.</w:t>
      </w:r>
    </w:p>
    <w:p>
      <w:pPr>
        <w:pStyle w:val="Heading2"/>
        <w:spacing w:before="200" w:after="120"/>
      </w:pPr>
      <w:r>
        <w:rPr>
          <w:b/>
          <w:color w:val="2E75B6"/>
        </w:rPr>
        <w:t>2.3  Composite Score Construction</w:t>
      </w:r>
    </w:p>
    <w:p>
      <w:pPr>
        <w:spacing w:after="120" w:before="0"/>
      </w:pPr>
      <w:r>
        <w:rPr>
          <w:b w:val="0"/>
          <w:i w:val="0"/>
          <w:color w:val="1A1A2E"/>
          <w:sz w:val="22"/>
        </w:rPr>
        <w:t>Each candidate stock receives a composite score on a 0–100 scale that drives final ranking. The score blends ESG quality and financial efficiency, weighted to reflect the fund's sustainability-first mandate:</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Component</w:t>
            </w:r>
          </w:p>
        </w:tc>
        <w:tc>
          <w:tcPr>
            <w:tcW w:type="dxa" w:w="481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Sub-component</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Sub-weight</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Total weight</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ESG Score (40%)</w:t>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Environmental pillar (SASB-weighted)</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40% × 40%</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Social pillar (SASB-weighted)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 × 40%</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12%</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Governance pillar (SASB-weighted)</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30% × 40%</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12%</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Financial (60%)</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composite_financial_score from Agent 10 — aggregates M-01 ROIC–WACC, M-02 FCF Conversion, M-03 FCCR + Net Debt/EBITDA, M-04 Sloan Accruals</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60%</w:t>
            </w:r>
          </w:p>
        </w:tc>
      </w:tr>
    </w:tbl>
    <w:p/>
    <w:p>
      <w:pPr>
        <w:spacing w:after="120" w:before="0"/>
      </w:pPr>
      <w:r>
        <w:rPr>
          <w:b w:val="0"/>
          <w:i w:val="0"/>
          <w:color w:val="1A1A2E"/>
          <w:sz w:val="22"/>
        </w:rPr>
        <w:t>ESG pillar weights are not fixed across all companies — they are calibrated by Sustainability Accounting Standards Board (SASB) materiality standards specific to each BICS Level-1 sector. High-impact sectors (Energy, Materials) receive elevated Environmental weight; service sectors (Financials, Technology) receive higher Governance weight. The full sector-pillar matrix is presented in Section 5.</w:t>
      </w:r>
    </w:p>
    <w:p>
      <w:pPr>
        <w:pStyle w:val="Heading2"/>
        <w:spacing w:before="200" w:after="120"/>
      </w:pPr>
      <w:r>
        <w:rPr>
          <w:b/>
          <w:color w:val="2E75B6"/>
        </w:rPr>
        <w:t>2.4  Hard Exclusion Rules</w:t>
      </w:r>
    </w:p>
    <w:p>
      <w:pPr>
        <w:spacing w:after="120" w:before="0"/>
      </w:pPr>
      <w:r>
        <w:rPr>
          <w:b w:val="0"/>
          <w:i w:val="0"/>
          <w:color w:val="1A1A2E"/>
          <w:sz w:val="22"/>
        </w:rPr>
        <w:t>The following rules result in automatic exclusion from the portfolio, regardless of composite score:</w:t>
      </w:r>
    </w:p>
    <w:p>
      <w:pPr>
        <w:pStyle w:val="ListBullet"/>
        <w:spacing w:after="60"/>
        <w:ind w:left="283"/>
      </w:pPr>
      <w:r>
        <w:rPr>
          <w:color w:val="1A1A2E"/>
          <w:sz w:val="22"/>
        </w:rPr>
        <w:t>Thermal coal revenue &gt; 5%</w:t>
      </w:r>
    </w:p>
    <w:p>
      <w:pPr>
        <w:pStyle w:val="ListBullet"/>
        <w:spacing w:after="60"/>
        <w:ind w:left="283"/>
      </w:pPr>
      <w:r>
        <w:rPr>
          <w:color w:val="1A1A2E"/>
          <w:sz w:val="22"/>
        </w:rPr>
        <w:t>Tobacco production</w:t>
      </w:r>
    </w:p>
    <w:p>
      <w:pPr>
        <w:pStyle w:val="ListBullet"/>
        <w:spacing w:after="60"/>
        <w:ind w:left="283"/>
      </w:pPr>
      <w:r>
        <w:rPr>
          <w:color w:val="1A1A2E"/>
          <w:sz w:val="22"/>
        </w:rPr>
        <w:t>Controversial weapons (cluster munitions, antipersonnel mines)</w:t>
      </w:r>
    </w:p>
    <w:p>
      <w:pPr>
        <w:pStyle w:val="ListBullet"/>
        <w:spacing w:after="60"/>
        <w:ind w:left="283"/>
      </w:pPr>
      <w:r>
        <w:rPr>
          <w:color w:val="1A1A2E"/>
          <w:sz w:val="22"/>
        </w:rPr>
        <w:t>Greenwashing 8-Test score HIGH on &gt;= 3 dimensions</w:t>
      </w:r>
    </w:p>
    <w:p>
      <w:pPr>
        <w:pStyle w:val="ListBullet"/>
        <w:spacing w:after="60"/>
        <w:ind w:left="283"/>
      </w:pPr>
      <w:r>
        <w:rPr>
          <w:color w:val="1A1A2E"/>
          <w:sz w:val="22"/>
        </w:rPr>
        <w:t>All three ESG pillars NaN — hallucination control policy (5 companies removed)</w:t>
      </w:r>
    </w:p>
    <w:p>
      <w:pPr>
        <w:pStyle w:val="ListBullet"/>
        <w:spacing w:after="60"/>
        <w:ind w:left="283"/>
      </w:pPr>
      <w:r>
        <w:rPr>
          <w:color w:val="1A1A2E"/>
          <w:sz w:val="22"/>
        </w:rPr>
        <w:t>Subsidiary of another universe company — prevents carbon double-counting (1 pairs resolved)</w:t>
      </w:r>
    </w:p>
    <w:p>
      <w:pPr>
        <w:pStyle w:val="ListBullet"/>
        <w:spacing w:after="60"/>
        <w:ind w:left="283"/>
      </w:pPr>
      <w:r>
        <w:rPr>
          <w:color w:val="1A1A2E"/>
          <w:sz w:val="22"/>
        </w:rPr>
        <w:t>Composite ESG score below 50th-percentile universe floor (16 companies removed)</w:t>
      </w:r>
    </w:p>
    <w:p/>
    <w:p>
      <w:pPr>
        <w:pStyle w:val="Heading2"/>
        <w:spacing w:before="200" w:after="120"/>
      </w:pPr>
      <w:r>
        <w:rPr>
          <w:b/>
          <w:color w:val="2E75B6"/>
        </w:rPr>
        <w:t>2.5  Watchlist Triggers</w:t>
      </w:r>
    </w:p>
    <w:p>
      <w:pPr>
        <w:spacing w:after="120" w:before="0"/>
      </w:pPr>
      <w:r>
        <w:rPr>
          <w:b w:val="0"/>
          <w:i w:val="0"/>
          <w:color w:val="1A1A2E"/>
          <w:sz w:val="22"/>
        </w:rPr>
        <w:t>Companies meeting any of the following conditions are placed on the watchlist for additional human review before inclusion in the final portfolio. Watchlist status does not automatically trigger exclusion:</w:t>
      </w:r>
    </w:p>
    <w:p>
      <w:pPr>
        <w:pStyle w:val="ListBullet"/>
        <w:spacing w:after="60"/>
        <w:ind w:left="283"/>
      </w:pPr>
      <w:r>
        <w:rPr>
          <w:color w:val="1A1A2E"/>
          <w:sz w:val="22"/>
        </w:rPr>
        <w:t>Greenwashing 8-Test score HIGH on 2 dimensions</w:t>
      </w:r>
    </w:p>
    <w:p>
      <w:pPr>
        <w:pStyle w:val="ListBullet"/>
        <w:spacing w:after="60"/>
        <w:ind w:left="283"/>
      </w:pPr>
      <w:r>
        <w:rPr>
          <w:color w:val="1A1A2E"/>
          <w:sz w:val="22"/>
        </w:rPr>
        <w:t>SBTi target not yet approved</w:t>
      </w:r>
    </w:p>
    <w:p>
      <w:pPr>
        <w:pStyle w:val="ListBullet"/>
        <w:spacing w:after="60"/>
        <w:ind w:left="283"/>
      </w:pPr>
      <w:r>
        <w:rPr>
          <w:color w:val="1A1A2E"/>
          <w:sz w:val="22"/>
        </w:rPr>
        <w:t>Scope 3 emissions not disclosed</w:t>
      </w:r>
    </w:p>
    <w:p>
      <w:pPr>
        <w:pStyle w:val="ListBullet"/>
        <w:spacing w:after="60"/>
        <w:ind w:left="283"/>
      </w:pPr>
      <w:r>
        <w:rPr>
          <w:color w:val="1A1A2E"/>
          <w:sz w:val="22"/>
        </w:rPr>
        <w:t>Board gender diversity below 30%</w:t>
      </w:r>
    </w:p>
    <w:p/>
    <w:p>
      <w:pPr>
        <w:pStyle w:val="Heading2"/>
        <w:spacing w:before="200" w:after="120"/>
      </w:pPr>
      <w:r>
        <w:rPr>
          <w:b/>
          <w:color w:val="2E75B6"/>
        </w:rPr>
        <w:t>2.6  Human Override Policy</w:t>
      </w:r>
    </w:p>
    <w:p>
      <w:pPr>
        <w:spacing w:after="120" w:before="0"/>
      </w:pPr>
      <w:r>
        <w:rPr>
          <w:b w:val="0"/>
          <w:i w:val="0"/>
          <w:color w:val="1A1A2E"/>
          <w:sz w:val="22"/>
        </w:rPr>
        <w:t>Team may override quantitative ranking for any holding. Every override must be logged in notebook 10_human_review.ipynb with a written rationale and the team member responsible. The documented override log is provided in Appendix E.</w:t>
      </w:r>
    </w:p>
    <w:p>
      <w:r>
        <w:br w:type="page"/>
      </w:r>
    </w:p>
    <w:p>
      <w:pPr>
        <w:pStyle w:val="Heading1"/>
        <w:spacing w:before="360" w:after="120"/>
      </w:pPr>
      <w:r>
        <w:rPr>
          <w:b/>
          <w:color w:val="1F497D"/>
        </w:rPr>
        <w:t>Section 3: Universe Construction &amp; Data Sources</w:t>
      </w:r>
    </w:p>
    <w:p>
      <w:pPr>
        <w:pStyle w:val="Heading2"/>
        <w:spacing w:before="200" w:after="120"/>
      </w:pPr>
      <w:r>
        <w:rPr>
          <w:b/>
          <w:color w:val="2E75B6"/>
        </w:rPr>
        <w:t>3.1  Universe Definition</w:t>
      </w:r>
    </w:p>
    <w:p>
      <w:pPr>
        <w:spacing w:after="120" w:before="0"/>
      </w:pPr>
      <w:r>
        <w:rPr>
          <w:b w:val="0"/>
          <w:i w:val="0"/>
          <w:color w:val="1A1A2E"/>
          <w:sz w:val="22"/>
        </w:rPr>
        <w:t>The investable universe is prescribed by the course assignment as the top 170 constituents of the STOXX Europe 600 index ranked by 10-year total return. This subset was provided as a pre-screened dataset by the course instructor. After data cleaning and merging, 213 companies were retained; three companies could not be matched across all four source files and were dropped before analysis began.</w:t>
      </w:r>
    </w:p>
    <w:p>
      <w:pPr>
        <w:spacing w:after="120" w:before="0"/>
      </w:pPr>
      <w:r>
        <w:rPr>
          <w:b w:val="0"/>
          <w:i w:val="0"/>
          <w:color w:val="1A1A2E"/>
          <w:sz w:val="22"/>
        </w:rPr>
        <w:t>The universe spans eight BICS Level-1 sectors — Technology, Financials, Industrials, Consumer Discretionary, Materials, Energy, Health Care, and Real Estate — and covers twelve Western European countries, with Denmark, Sweden, the Netherlands, and Germany most heavily represented. All companies carry Bloomberg exchange code GR, consistent with their primary European listing.</w:t>
      </w:r>
    </w:p>
    <w:p>
      <w:pPr>
        <w:spacing w:after="120" w:before="0"/>
      </w:pPr>
      <w:r>
        <w:rPr>
          <w:b w:val="0"/>
          <w:i/>
          <w:color w:val="707070"/>
          <w:sz w:val="22"/>
        </w:rPr>
        <w:t>Known bias disclosure: selecting the top 170 STOXX Europe 600 constituents by 10-year historical return introduces two structural biases. Survivorship bias arises because only companies that survived and remained in the index are included, systematically overstating historical returns. Look-ahead bias arises because using 10-year backward return to define the universe relies on information unavailable at the start of the measurement period. Both biases are disclosed here and revisited in the limitations section. In a live mandate, the full STOXX Europe 600 would serve as the starting universe.</w:t>
      </w:r>
    </w:p>
    <w:p>
      <w:pPr>
        <w:pStyle w:val="Heading2"/>
        <w:spacing w:before="200" w:after="120"/>
      </w:pPr>
      <w:r>
        <w:rPr>
          <w:b/>
          <w:color w:val="2E75B6"/>
        </w:rPr>
        <w:t>3.2  Data Sources</w:t>
      </w:r>
    </w:p>
    <w:p>
      <w:pPr>
        <w:spacing w:after="120" w:before="0"/>
      </w:pPr>
      <w:r>
        <w:rPr>
          <w:b w:val="0"/>
          <w:i w:val="0"/>
          <w:color w:val="1A1A2E"/>
          <w:sz w:val="22"/>
        </w:rPr>
        <w:t>Four course-provided datasets and one market data feed form the foundation of the pipeline. All four CSV files are loaded read-only; the pipeline never modifies them.</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File</w:t>
            </w:r>
          </w:p>
        </w:tc>
        <w:tc>
          <w:tcPr>
            <w:tcW w:type="dxa" w:w="425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Contents</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Rows</w:t>
            </w:r>
          </w:p>
        </w:tc>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Key identifier</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equityBicsV2.csv</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Company identifiers: name, ticker, ISIN, country, BICS sector hierarchy (Levels 1–4)</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213</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esgEnvironmentalSocialConsolidatedV4.csv</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Environmental and Social metrics: Scope 1–3 GHG emissions, water usage, waste, workforce safety, diversity ratios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213</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esgGovernanceConsolidatedV4.csv</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Governance metrics: board gender diversity, executive compensation, audit committee independence, anti-corruption policies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213</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legalEntityEuTaxonomy.csv</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EU Taxonomy eligibility and estimated alignment percentages, DNSH indicator estimates (Objectives 1–4), green revenue proxy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213</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 (API)</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Daily adjusted closing prices, 2020-01-01 to 2025-01-01. Also ROE, debt-to-equity, revenue growth via .info() endpoint.</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166/167</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Yahoo Finance ticker</w:t>
            </w:r>
          </w:p>
        </w:tc>
      </w:tr>
    </w:tbl>
    <w:p/>
    <w:p>
      <w:pPr>
        <w:pStyle w:val="Heading2"/>
        <w:spacing w:before="200" w:after="120"/>
      </w:pPr>
      <w:r>
        <w:rPr>
          <w:b/>
          <w:color w:val="2E75B6"/>
        </w:rPr>
        <w:t>3.3  Data Integration &amp; Ticker Bridge</w:t>
      </w:r>
    </w:p>
    <w:p>
      <w:pPr>
        <w:spacing w:after="120" w:before="0"/>
      </w:pPr>
      <w:r>
        <w:rPr>
          <w:b w:val="0"/>
          <w:i w:val="0"/>
          <w:color w:val="1A1A2E"/>
          <w:sz w:val="22"/>
        </w:rPr>
        <w:t>A critical data engineering challenge is that the course-provided files use Bloomberg tickers (e.g. ASME for ASML Holding), while the yfinance market data API requires exchange-qualified Yahoo Finance tickers (e.g. ASML.AS). These ticker formats do not share a common syntax, so a manual mapping column (yf_ticker) was added to the master dataset during the data ingestion step. All downstream agents load this bridge column to ensure ESG scores (Bloomberg tickers) and financial metrics (Yahoo Finance tickers) can be joined without row loss.</w:t>
      </w:r>
    </w:p>
    <w:p>
      <w:pPr>
        <w:spacing w:after="120" w:before="0"/>
      </w:pPr>
      <w:r>
        <w:rPr>
          <w:b w:val="0"/>
          <w:i w:val="0"/>
          <w:color w:val="1A1A2E"/>
          <w:sz w:val="22"/>
        </w:rPr>
        <w:t>The four CSV files are merged sequentially on idBbCompany — the Bloomberg Global Company ID — using a left join anchored on equityBicsV2.csv. The result is a single master dataset of 167 rows × 677 columns. All agent output files trace their lineage back to this master dataset.</w:t>
      </w:r>
    </w:p>
    <w:p>
      <w:pPr>
        <w:pStyle w:val="Heading2"/>
        <w:spacing w:before="200" w:after="120"/>
      </w:pPr>
      <w:r>
        <w:rPr>
          <w:b/>
          <w:color w:val="2E75B6"/>
        </w:rPr>
        <w:t>3.4  Market Data</w:t>
      </w:r>
    </w:p>
    <w:p>
      <w:pPr>
        <w:spacing w:after="120" w:before="0"/>
      </w:pPr>
      <w:r>
        <w:rPr>
          <w:b w:val="0"/>
          <w:i w:val="0"/>
          <w:color w:val="1A1A2E"/>
          <w:sz w:val="22"/>
        </w:rPr>
        <w:t>Historical price data was downloaded via yfinance for all 167 Bloomberg tickers mapped to their Yahoo Finance equivalents. The download window is 1 January 2020 to 1 January 2025, providing a five-year observation period that captures three distinct market regimes: the COVID-19 drawdown and recovery (2020), the 2022 rate-rising environment, and the subsequent growth rebound (2023–2024). Prices are adjusted for dividends and splits.</w:t>
      </w:r>
    </w:p>
    <w:p>
      <w:pPr>
        <w:spacing w:after="120" w:before="0"/>
      </w:pPr>
      <w:r>
        <w:rPr>
          <w:b w:val="0"/>
          <w:i w:val="0"/>
          <w:color w:val="1A1A2E"/>
          <w:sz w:val="22"/>
        </w:rPr>
        <w:t>166 of 167 companies received price data. Sydbank A/S (Bloomberg ticker TM2) has no corresponding Yahoo Finance ticker and was excluded from the financial metrics calculation.</w:t>
      </w:r>
    </w:p>
    <w:p>
      <w:pPr>
        <w:spacing w:after="120" w:before="0"/>
      </w:pPr>
      <w:r>
        <w:rPr>
          <w:b w:val="0"/>
          <w:i w:val="0"/>
          <w:color w:val="1A1A2E"/>
          <w:sz w:val="22"/>
        </w:rPr>
        <w:t>Note on GRANOLAS: of the major European compounders, only ASML Holding appears in the universe. The remaining names are STOXX Europe 600 members but their 10-year returns ranked outside the top 170 in the course dataset. This is a foreseeable consequence of the universe-construction rule and is disclosed in the Q&amp;A talking points.</w:t>
      </w:r>
    </w:p>
    <w:p>
      <w:r>
        <w:br w:type="page"/>
      </w:r>
    </w:p>
    <w:p>
      <w:pPr>
        <w:pStyle w:val="Heading1"/>
        <w:spacing w:before="360" w:after="120"/>
      </w:pPr>
      <w:r>
        <w:rPr>
          <w:b/>
          <w:color w:val="1F497D"/>
        </w:rPr>
        <w:t>Section 4: Quantitative Financial Screening</w:t>
      </w:r>
    </w:p>
    <w:p>
      <w:pPr>
        <w:spacing w:after="120" w:before="0"/>
      </w:pPr>
      <w:r>
        <w:rPr>
          <w:b w:val="0"/>
          <w:i w:val="0"/>
          <w:color w:val="1A1A2E"/>
          <w:sz w:val="22"/>
        </w:rPr>
        <w:t>The pipeline applies two complementary financial screens before ESG analysis begins: a price-based efficiency screen that feeds directly into the composite ranking, and a fundamental quality framework used as a qualitative overlay during human review. Running financial screens first prevents ESG computation being wasted on companies that would be excluded for financial reasons regardless of their sustainability profile.</w:t>
      </w:r>
    </w:p>
    <w:p>
      <w:pPr>
        <w:pStyle w:val="Heading2"/>
        <w:spacing w:before="200" w:after="120"/>
      </w:pPr>
      <w:r>
        <w:rPr>
          <w:b/>
          <w:color w:val="2E75B6"/>
        </w:rPr>
        <w:t>4.1  Screen A — Price-Based Efficiency (Automated)</w:t>
      </w:r>
    </w:p>
    <w:p>
      <w:pPr>
        <w:spacing w:after="120" w:before="0"/>
      </w:pPr>
      <w:r>
        <w:rPr>
          <w:b w:val="0"/>
          <w:i w:val="0"/>
          <w:color w:val="1A1A2E"/>
          <w:sz w:val="22"/>
        </w:rPr>
        <w:t>The price-based screen uses the five-year adjusted price series (2020–2025) to compute four metrics for each company.</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Formula</w:t>
            </w:r>
          </w:p>
        </w:tc>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Interpretation</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return</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Geometric mean of daily returns scaled by 252</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Total return per year; higher is better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volatility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Standard deviation of daily returns × √252</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Risk proxy; capped at 40% as hard exclusion filter</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Sharpe ratio</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return − 0%) ÷ Annualised volatility</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Return per unit of risk; risk-free rate set to 0%</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Maximum drawdown</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Largest peak-to-trough decline over the 5-year window</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Downside risk severity; informational only</w:t>
            </w:r>
          </w:p>
        </w:tc>
      </w:tr>
    </w:tbl>
    <w:p/>
    <w:p>
      <w:pPr>
        <w:spacing w:after="120" w:before="0"/>
      </w:pPr>
      <w:r>
        <w:rPr>
          <w:b w:val="0"/>
          <w:i w:val="0"/>
          <w:color w:val="1A1A2E"/>
          <w:sz w:val="22"/>
        </w:rPr>
        <w:t>The volatility cap (&gt;40% annualised volatility) is the only hard filter in Screen A. No company in the current universe was excluded by this cap. The Sharpe ratio feeds into Agent 10's composite_financial_score alongside the other accounting-quality metrics (Section 4.2) — it is one input to the financial component of the composite ranking, not a direct standalone input.</w:t>
      </w:r>
    </w:p>
    <w:p>
      <w:pPr>
        <w:pStyle w:val="Heading2"/>
        <w:spacing w:before="200" w:after="120"/>
      </w:pPr>
      <w:r>
        <w:rPr>
          <w:b/>
          <w:color w:val="2E75B6"/>
        </w:rPr>
        <w:t>4.2  Screen B — Fundamental Quality Framework (6 Metrics)</w:t>
      </w:r>
    </w:p>
    <w:p>
      <w:pPr>
        <w:spacing w:after="120" w:before="0"/>
      </w:pPr>
      <w:r>
        <w:rPr>
          <w:b w:val="0"/>
          <w:i w:val="0"/>
          <w:color w:val="1A1A2E"/>
          <w:sz w:val="22"/>
        </w:rPr>
        <w:t>The pipeline incorporates a six-factor fundamental quality framework (Version 2 of the Financial Filtering Agent, sourced from docs/financial_filtering_framework/). This framework assesses accounting-based quality signals that are complementary to price-based metrics: while Screen A captures how the market has priced a stock historically, Screen B captures the underlying financial health of the business. The framework is implemented in `notebooks/04b_fundamental_quality.ipynb` and produces outputs/scores/fundamental_quality_*.csv.</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Factor</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Weight</w:t>
            </w:r>
          </w:p>
        </w:tc>
        <w:tc>
          <w:tcPr>
            <w:tcW w:type="dxa" w:w="481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What it tests</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M-01</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ROIC minus WACC Spread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22%</w:t>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Economic value creation</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M-02</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Free Cash Flow Conversion</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22%</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Earnings quality — cash backing</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M-03</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FCCR + Net Debt / EBITDA</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18%</w:t>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 resilience and leverage stress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M-04</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Sloan Accruals Ratio</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Earnings manipulation warning signal</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M-05</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EBITDA Margin CV</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Earnings stability over time</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Dividend Sustainability Index</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12%</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Capital return reliability</w:t>
            </w:r>
          </w:p>
        </w:tc>
      </w:tr>
    </w:tbl>
    <w:p/>
    <w:p>
      <w:pPr>
        <w:spacing w:after="120" w:before="0"/>
      </w:pPr>
      <w:r>
        <w:rPr>
          <w:b w:val="0"/>
          <w:i w:val="0"/>
          <w:color w:val="1A1A2E"/>
          <w:sz w:val="22"/>
        </w:rPr>
        <w:t>A Layer-1 binary pre-screen runs before any scoring: companies with more than two dividend cuts in the observation window are hard-excluded irrespective of how well they score on the remaining metrics. The composite uses percentile-rank scoring within the screened universe and weights renormalise if any metric is unavailable for a given company.</w:t>
      </w:r>
    </w:p>
    <w:p>
      <w:pPr>
        <w:spacing w:after="120" w:before="0"/>
      </w:pPr>
      <w:r>
        <w:rPr>
          <w:b w:val="0"/>
          <w:i w:val="0"/>
          <w:color w:val="1A1A2E"/>
          <w:sz w:val="22"/>
        </w:rPr>
        <w:t>The notebook was last run against 40 companies (20 portfolio holdings + 20 next-best by ESG score). 31 of 40 received a full composite score; the remainder had insufficient yfinance data on at least three of the six metrics.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Coverage (n)</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Coverage (%)</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M01</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31/40</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78%</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M02</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30/40</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75%</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M03</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28/40</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70%</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M04</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39/40</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98%</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M05</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30/40</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75%</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37/40</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92%</w:t>
            </w:r>
          </w:p>
        </w:tc>
      </w:tr>
    </w:tbl>
    <w:p/>
    <w:p>
      <w:pPr>
        <w:spacing w:after="120" w:before="0"/>
      </w:pPr>
      <w:r>
        <w:rPr>
          <w:b w:val="0"/>
          <w:i/>
          <w:color w:val="707070"/>
          <w:sz w:val="22"/>
        </w:rPr>
        <w:t>In the current build, Screen B operates as a complementary qualitative overlay used during human review (Appendix E), not as an automated exclusion filter — top-ranked Screen B companies are cross-referenced against the portfolio. Of the top 10 by Screen B composite, six are already in the final portfolio, providing independent corroboration of the price-based ranking used in the live pipeline. Full Screen B results are presented in Appendix F.</w:t>
      </w:r>
    </w:p>
    <w:p>
      <w:pPr>
        <w:pStyle w:val="Heading2"/>
        <w:spacing w:before="200" w:after="120"/>
      </w:pPr>
      <w:r>
        <w:rPr>
          <w:b/>
          <w:color w:val="2E75B6"/>
        </w:rPr>
        <w:t>4.3  Financial Screen Funnel</w:t>
      </w:r>
    </w:p>
    <w:tbl>
      <w:tblPr>
        <w:tblStyle w:val="TableGrid"/>
        <w:tblW w:type="auto" w:w="0"/>
        <w:tblLook w:firstColumn="1" w:firstRow="1" w:lastColumn="0" w:lastRow="0" w:noHBand="0" w:noVBand="1" w:val="04A0"/>
      </w:tblPr>
      <w:tblGrid>
        <w:gridCol w:w="4703"/>
        <w:gridCol w:w="4703"/>
      </w:tblGrid>
      <w:tr>
        <w:tc>
          <w:tcPr>
            <w:tcW w:type="dxa" w:w="45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Stage</w:t>
            </w:r>
          </w:p>
        </w:tc>
        <w:tc>
          <w:tcPr>
            <w:tcW w:type="dxa" w:w="51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Companies remaining</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Starting universe</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213</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After price data retrieval</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166 (Sydbank excluded — no YF ticker)</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After financial metrics calculation</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164 (3 missing yfinance data)</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After volatility cap (&gt;40%)</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164 (0 removed)</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After subsidiary deduplication</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163 (1 parent/sub pairs resolved)</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After ESG no-data exclusion</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163 (0 LOW_DATA companies removed)</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After ESG quality floor</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163 (0 removed)</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Final ranked investable universe</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191 companies</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Final portfolio selected</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30 holdings</w:t>
            </w:r>
          </w:p>
        </w:tc>
      </w:tr>
    </w:tbl>
    <w:p/>
    <w:p>
      <w:r>
        <w:br w:type="page"/>
      </w:r>
    </w:p>
    <w:p>
      <w:pPr>
        <w:pStyle w:val="Heading1"/>
        <w:spacing w:before="360" w:after="120"/>
      </w:pPr>
      <w:r>
        <w:rPr>
          <w:b/>
          <w:color w:val="1F497D"/>
        </w:rPr>
        <w:t>Section 5: ESG Scoring Methodology</w:t>
      </w:r>
    </w:p>
    <w:p>
      <w:pPr>
        <w:pStyle w:val="Heading2"/>
        <w:spacing w:before="200" w:after="120"/>
      </w:pPr>
      <w:r>
        <w:rPr>
          <w:b/>
          <w:color w:val="2E75B6"/>
        </w:rPr>
        <w:t>5.1  Scoring Framework</w:t>
      </w:r>
    </w:p>
    <w:p>
      <w:pPr>
        <w:spacing w:after="120" w:before="0"/>
      </w:pPr>
      <w:r>
        <w:rPr>
          <w:b w:val="0"/>
          <w:i w:val="0"/>
          <w:color w:val="1A1A2E"/>
          <w:sz w:val="22"/>
        </w:rPr>
        <w:t>Environmental, Social and Governance scores are constructed for each of the 167 universe companies on a 0–100 scale. The scoring procedure has three stages: (1) within-pillar min-max normalisation of each constituent variable; (2) within-pillar aggregation of normalised variables to produce raw E, S, and G pillar scores; (3) sector-specific weighting of the three pillar scores into a composite ESG score.</w:t>
      </w:r>
    </w:p>
    <w:p>
      <w:pPr>
        <w:pStyle w:val="Heading2"/>
        <w:spacing w:before="200" w:after="120"/>
      </w:pPr>
      <w:r>
        <w:rPr>
          <w:b/>
          <w:color w:val="2E75B6"/>
        </w:rPr>
        <w:t>5.2  SASB Sector-Adjusted Pillar Weights</w:t>
      </w:r>
    </w:p>
    <w:p>
      <w:pPr>
        <w:spacing w:after="120" w:before="0"/>
      </w:pPr>
      <w:r>
        <w:rPr>
          <w:b w:val="0"/>
          <w:i w:val="0"/>
          <w:color w:val="1A1A2E"/>
          <w:sz w:val="22"/>
        </w:rPr>
        <w:t>The composite ESG score is not a simple average of E, S and G. The relative importance of each pillar is calibrated to the Sustainability Accounting Standards Board (SASB) materiality framework, which identifies which sustainability issues are financially material to which industries. High-impact sectors carry elevated E weight; service sectors carry elevated G weight.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BICS Level-1 Sector</w:t>
            </w:r>
          </w:p>
        </w:tc>
        <w:tc>
          <w:tcPr>
            <w:tcW w:type="dxa" w:w="153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E Weight</w:t>
            </w:r>
          </w:p>
        </w:tc>
        <w:tc>
          <w:tcPr>
            <w:tcW w:type="dxa" w:w="153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 Weight</w:t>
            </w:r>
          </w:p>
        </w:tc>
        <w:tc>
          <w:tcPr>
            <w:tcW w:type="dxa" w:w="153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G Weight</w:t>
            </w:r>
          </w:p>
        </w:tc>
        <w:tc>
          <w:tcPr>
            <w:tcW w:type="dxa" w:w="153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Total</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Energy</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Materials</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50%</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20%</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Industrials</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45%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Consumer Discretionary</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40%</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25%</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Health Care</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40%</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Technology</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25%</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40%</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45%</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100%</w:t>
            </w:r>
          </w:p>
        </w:tc>
      </w:tr>
    </w:tbl>
    <w:p/>
    <w:p>
      <w:pPr>
        <w:pStyle w:val="Heading2"/>
        <w:spacing w:before="200" w:after="120"/>
      </w:pPr>
      <w:r>
        <w:rPr>
          <w:b/>
          <w:color w:val="2E75B6"/>
        </w:rPr>
        <w:t>5.3  Triangulation Rule</w:t>
      </w:r>
    </w:p>
    <w:p>
      <w:pPr>
        <w:spacing w:after="120" w:before="0"/>
      </w:pPr>
      <w:r>
        <w:rPr>
          <w:b w:val="0"/>
          <w:i w:val="0"/>
          <w:color w:val="1A1A2E"/>
          <w:sz w:val="22"/>
        </w:rPr>
        <w:t>ESG ratings are inherently noisy: empirical research consistently finds low correlation between ratings from different providers (Berg, Kölbel &amp; Rigobon, 2022). To mitigate single-provider risk, the pipeline implements a triangulation rule across two independent sources: the agent's own SASB-weighted composite (≥ 50 required for PASS) and the Bloomberg ESG Disclosure Score (≥ 50 required for PASS). Sustainalytics ESG Risk Rating was specified as a third source but is unavailable for the majority of the universe via yfinance; triangulation therefore operates as 2-of-2 in the current build, with PASS, WATCHLIST, and FAIL outcomes recorded for every company.</w:t>
      </w:r>
    </w:p>
    <w:p>
      <w:pPr>
        <w:pStyle w:val="Heading2"/>
        <w:spacing w:before="200" w:after="120"/>
      </w:pPr>
      <w:r>
        <w:rPr>
          <w:b/>
          <w:color w:val="2E75B6"/>
        </w:rPr>
        <w:t>5.4  Data Quality Controls</w:t>
      </w:r>
    </w:p>
    <w:p>
      <w:pPr>
        <w:spacing w:after="120" w:before="0"/>
      </w:pPr>
      <w:r>
        <w:rPr>
          <w:b w:val="0"/>
          <w:i w:val="0"/>
          <w:color w:val="1A1A2E"/>
          <w:sz w:val="22"/>
        </w:rPr>
        <w:t>5 companies returned NaN on all three ESG pillars and were flagged LOW_DATA. These were excluded from portfolio consideration before scoring under the hallucination-control policy: where data is absent, the pipeline never invents or imputes; it excludes. 16 further companies fell below the ESG quality floor (the 50th percentile of the scored universe) and were excluded from final ranking. Cumulatively, 21 of the 213 universe companies (9.9%) were removed for ESG-related reasons.</w:t>
      </w:r>
    </w:p>
    <w:p>
      <w:pPr>
        <w:pStyle w:val="Heading2"/>
        <w:spacing w:before="200" w:after="120"/>
      </w:pPr>
      <w:r>
        <w:rPr>
          <w:b/>
          <w:color w:val="2E75B6"/>
        </w:rPr>
        <w:t>5.5  Portfolio ESG Outcome</w:t>
      </w:r>
    </w:p>
    <w:p>
      <w:pPr>
        <w:spacing w:after="120" w:before="0"/>
      </w:pPr>
      <w:r>
        <w:rPr>
          <w:b w:val="0"/>
          <w:i w:val="0"/>
          <w:color w:val="1A1A2E"/>
          <w:sz w:val="22"/>
        </w:rPr>
        <w:t>The final 30-holding portfolio carries a weighted ESG composite score of 88.1 out of 100, versus a universe-average score of 43.0 — a 45.1-point uplift. The chart below compares portfolio versus universe scores across all three pillars and the composite.</w:t>
      </w:r>
    </w:p>
    <w:p>
      <w:pPr>
        <w:jc w:val="center"/>
      </w:pPr>
      <w:r>
        <w:drawing>
          <wp:inline xmlns:a="http://schemas.openxmlformats.org/drawingml/2006/main" xmlns:pic="http://schemas.openxmlformats.org/drawingml/2006/picture">
            <wp:extent cx="5040000" cy="2800000"/>
            <wp:docPr id="1" name="Picture 1"/>
            <wp:cNvGraphicFramePr>
              <a:graphicFrameLocks noChangeAspect="1"/>
            </wp:cNvGraphicFramePr>
            <a:graphic>
              <a:graphicData uri="http://schemas.openxmlformats.org/drawingml/2006/picture">
                <pic:pic>
                  <pic:nvPicPr>
                    <pic:cNvPr id="0" name="esg_comparison.png"/>
                    <pic:cNvPicPr/>
                  </pic:nvPicPr>
                  <pic:blipFill>
                    <a:blip r:embed="rId9"/>
                    <a:stretch>
                      <a:fillRect/>
                    </a:stretch>
                  </pic:blipFill>
                  <pic:spPr>
                    <a:xfrm>
                      <a:off x="0" y="0"/>
                      <a:ext cx="5040000" cy="2800000"/>
                    </a:xfrm>
                    <a:prstGeom prst="rect"/>
                  </pic:spPr>
                </pic:pic>
              </a:graphicData>
            </a:graphic>
          </wp:inline>
        </w:drawing>
      </w:r>
    </w:p>
    <w:p>
      <w:pPr>
        <w:jc w:val="center"/>
      </w:pPr>
      <w:r>
        <w:rPr>
          <w:i/>
          <w:color w:val="707070"/>
          <w:sz w:val="18"/>
        </w:rPr>
        <w:t>Figure 5.1 — Portfolio ESG vs Universe ESG, by pillar</w:t>
      </w:r>
    </w:p>
    <w:p>
      <w:r>
        <w:br w:type="page"/>
      </w:r>
    </w:p>
    <w:p>
      <w:pPr>
        <w:pStyle w:val="Heading1"/>
        <w:spacing w:before="360" w:after="120"/>
      </w:pPr>
      <w:r>
        <w:rPr>
          <w:b/>
          <w:color w:val="1F497D"/>
        </w:rPr>
        <w:t>Section 6: Climate Risk &amp; Carbon Intensity</w:t>
      </w:r>
    </w:p>
    <w:p>
      <w:pPr>
        <w:pStyle w:val="Heading2"/>
        <w:spacing w:before="200" w:after="120"/>
      </w:pPr>
      <w:r>
        <w:rPr>
          <w:b/>
          <w:color w:val="2E75B6"/>
        </w:rPr>
        <w:t>6.1  Methodology — Weighted Average Carbon Intensity (WACI)</w:t>
      </w:r>
    </w:p>
    <w:p>
      <w:pPr>
        <w:spacing w:after="120" w:before="0"/>
      </w:pPr>
      <w:r>
        <w:rPr>
          <w:b w:val="0"/>
          <w:i w:val="0"/>
          <w:color w:val="1A1A2E"/>
          <w:sz w:val="22"/>
        </w:rPr>
        <w:t>WACI is the standard portfolio-level carbon intensity metric recommended by the Task Force on Climate-related Financial Disclosures (TCFD) and required by SFDR Annex I. It is computed as the portfolio-weight-weighted sum of each holding's carbon intensity (tonnes CO₂-equivalent emissions per €m of revenue):</w:t>
      </w:r>
    </w:p>
    <w:p>
      <w:pPr>
        <w:spacing w:after="200" w:before="0"/>
      </w:pPr>
      <w:r>
        <w:rPr>
          <w:b/>
          <w:i w:val="0"/>
          <w:color w:val="1A1A2E"/>
          <w:sz w:val="22"/>
        </w:rPr>
        <w:t>WACI  =  Σ  ( portfolio_weight_i  ×  carbon_intensity_i )</w:t>
      </w:r>
    </w:p>
    <w:p>
      <w:pPr>
        <w:spacing w:after="120" w:before="0"/>
      </w:pPr>
      <w:r>
        <w:rPr>
          <w:b w:val="0"/>
          <w:i w:val="0"/>
          <w:color w:val="1A1A2E"/>
          <w:sz w:val="22"/>
        </w:rPr>
        <w:t>Carbon intensity uses Scope 1 + 2 emissions divided by revenue. The pipeline does not include Scope 3 emissions in the current WACI calculation because Scope 3 disclosure remains patchy and inconsistent across the universe; including only the subset of companies that report Scope 3 would distort the portfolio-level figure.</w:t>
      </w:r>
    </w:p>
    <w:p>
      <w:pPr>
        <w:pStyle w:val="Heading2"/>
        <w:spacing w:before="200" w:after="120"/>
      </w:pPr>
      <w:r>
        <w:rPr>
          <w:b/>
          <w:color w:val="2E75B6"/>
        </w:rPr>
        <w:t>6.2  Data Availability &amp; Imputation</w:t>
      </w:r>
    </w:p>
    <w:p>
      <w:pPr>
        <w:spacing w:after="120" w:before="0"/>
      </w:pPr>
      <w:r>
        <w:rPr>
          <w:b w:val="0"/>
          <w:i w:val="0"/>
          <w:color w:val="1A1A2E"/>
          <w:sz w:val="22"/>
        </w:rPr>
        <w:t>Of the 30 portfolio holdings, 1 have direct Bloomberg carbon intensity values (flagged bloomberg_calc in the source column). The remaining 29 holdings use BICS sector-median imputation (flagged sector_median_imputed). This is transparently disclosed in the data dictionary and on the chart axis labels.</w:t>
      </w:r>
    </w:p>
    <w:p>
      <w:pPr>
        <w:spacing w:after="120" w:before="0"/>
      </w:pPr>
      <w:r>
        <w:rPr>
          <w:b w:val="0"/>
          <w:i/>
          <w:color w:val="707070"/>
          <w:sz w:val="22"/>
        </w:rPr>
        <w:t>Imputation introduces material uncertainty. A company in a high-carbon sector inherits the sector median even if its actual emissions are well below sector peers. Confidence in the WACI figure will improve once primary-source Scope 1+2 data are obtained for the imputed holdings.</w:t>
      </w:r>
    </w:p>
    <w:p>
      <w:pPr>
        <w:pStyle w:val="Heading2"/>
        <w:spacing w:before="200" w:after="120"/>
      </w:pPr>
      <w:r>
        <w:rPr>
          <w:b/>
          <w:color w:val="2E75B6"/>
        </w:rPr>
        <w:t>6.3  Portfolio WACI</w:t>
      </w:r>
    </w:p>
    <w:p>
      <w:pPr>
        <w:spacing w:after="120" w:before="0"/>
      </w:pPr>
      <w:r>
        <w:rPr>
          <w:b w:val="0"/>
          <w:i w:val="0"/>
          <w:color w:val="1A1A2E"/>
          <w:sz w:val="22"/>
        </w:rPr>
        <w:t>The final portfolio WACI is 107.6 tCO₂e per €m of revenue. This figure is elevated relative to common European benchmark proxies (STOXX Europe 600 estimates range from 120 to 180 tCO₂e/€m), and the elevation is driven by a small number of high-intensity holdings.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Ticker</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Company</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Sector</w:t>
            </w:r>
          </w:p>
        </w:tc>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Carbon Intensity</w:t>
            </w:r>
          </w:p>
        </w:tc>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NOH1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Norsk Hydro ASA</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Materials</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2149.7 tCO₂e/€m</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EOAN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E.ON SE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Utilities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629.8 tCO₂e/€m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IHCB</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SBM Offshore NV</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Energy</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277.7 tCO₂e/€m</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H11</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Halma PLC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Industrials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19.6 tCO₂e/€m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3ZV</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Benefit Systems SA</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Industrials</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19.6 tCO₂e/€m</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ABJ</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ABB Ltd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Industrials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19.6 tCO₂e/€m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AA9</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Alfa Laval AB</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Industrials</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19.6 tCO₂e/€m</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SU1N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Swiss Prime Site AG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Real Estate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16.7 tCO₂e/€m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sector_median_imputed</w:t>
            </w:r>
          </w:p>
        </w:tc>
      </w:tr>
    </w:tbl>
    <w:p/>
    <w:p>
      <w:pPr>
        <w:pStyle w:val="Heading2"/>
        <w:spacing w:before="200" w:after="120"/>
      </w:pPr>
      <w:r>
        <w:rPr>
          <w:b/>
          <w:color w:val="2E75B6"/>
        </w:rPr>
        <w:t>6.4  Transition Rationale</w:t>
      </w:r>
    </w:p>
    <w:p>
      <w:pPr>
        <w:spacing w:after="120" w:before="0"/>
      </w:pPr>
      <w:r>
        <w:rPr>
          <w:b w:val="0"/>
          <w:i w:val="0"/>
          <w:color w:val="1A1A2E"/>
          <w:sz w:val="22"/>
        </w:rPr>
        <w:t>Where high-emission holdings are retained, the rationale is explicit transition-alignment. SSAB AB and Norsk Hydro ASA are leading European decarbonisers in heavy industry: SSAB through the HYBRIT fossil-free steel pilot (targeting world's first commercial fossil-free steel by 2026) and Norsk Hydro through low-carbon aluminium production using Norwegian hydropower. The investment thesis is that transition-aligned holdings in carbon-intensive sectors carry asymmetric upside as decarbonisation infrastructure matures. This thesis is documented as an explicit human override (see Appendix E).</w:t>
      </w:r>
    </w:p>
    <w:p>
      <w:r>
        <w:br w:type="page"/>
      </w:r>
    </w:p>
    <w:p>
      <w:pPr>
        <w:pStyle w:val="Heading1"/>
        <w:spacing w:before="360" w:after="120"/>
      </w:pPr>
      <w:r>
        <w:rPr>
          <w:b/>
          <w:color w:val="1F497D"/>
        </w:rPr>
        <w:t>Section 7: Biodiversity &amp; Nature Risk</w:t>
      </w:r>
    </w:p>
    <w:p>
      <w:pPr>
        <w:pStyle w:val="Heading2"/>
        <w:spacing w:before="200" w:after="120"/>
      </w:pPr>
      <w:r>
        <w:rPr>
          <w:b/>
          <w:color w:val="2E75B6"/>
        </w:rPr>
        <w:t>7.1  Framework</w:t>
      </w:r>
    </w:p>
    <w:p>
      <w:pPr>
        <w:spacing w:after="120" w:before="0"/>
      </w:pPr>
      <w:r>
        <w:rPr>
          <w:b w:val="0"/>
          <w:i w:val="0"/>
          <w:color w:val="1A1A2E"/>
          <w:sz w:val="22"/>
        </w:rPr>
        <w:t>Biodiversity and nature-risk scoring is aligned with the emerging Taskforce on Nature-related Financial Disclosures (TNFD) framework. The pipeline uses two sector-level proxy frameworks in the absence of company-level TNFD-aligned disclosures:</w:t>
      </w:r>
    </w:p>
    <w:p>
      <w:pPr>
        <w:pStyle w:val="ListBullet"/>
        <w:spacing w:after="60"/>
        <w:ind w:left="283"/>
      </w:pPr>
      <w:r>
        <w:rPr>
          <w:b/>
          <w:color w:val="1A1A2E"/>
          <w:sz w:val="22"/>
        </w:rPr>
        <w:t xml:space="preserve">ENCORE: </w:t>
      </w:r>
      <w:r>
        <w:rPr>
          <w:color w:val="1A1A2E"/>
          <w:sz w:val="22"/>
        </w:rPr>
        <w:t>the dependency score from the Exploring Natural Capital Opportunities, Risks and Exposure (ENCORE) database, which measures how much each sector relies on ecosystem services, scored 0–5;</w:t>
      </w:r>
    </w:p>
    <w:p>
      <w:pPr>
        <w:pStyle w:val="ListBullet"/>
        <w:spacing w:after="60"/>
        <w:ind w:left="283"/>
      </w:pPr>
      <w:r>
        <w:rPr>
          <w:b/>
          <w:color w:val="1A1A2E"/>
          <w:sz w:val="22"/>
        </w:rPr>
        <w:t xml:space="preserve">WRI Aqueduct: </w:t>
      </w:r>
      <w:r>
        <w:rPr>
          <w:color w:val="1A1A2E"/>
          <w:sz w:val="22"/>
        </w:rPr>
        <w:t>the World Resources Institute Aqueduct water-risk database, which measures baseline water stress exposure by sector and geography, scored 0–5.</w:t>
      </w:r>
    </w:p>
    <w:p/>
    <w:p>
      <w:pPr>
        <w:pStyle w:val="Heading2"/>
        <w:spacing w:before="200" w:after="120"/>
      </w:pPr>
      <w:r>
        <w:rPr>
          <w:b/>
          <w:color w:val="2E75B6"/>
        </w:rPr>
        <w:t>7.2  Composite Score &amp; Tiers</w:t>
      </w:r>
    </w:p>
    <w:p>
      <w:pPr>
        <w:spacing w:after="120" w:before="0"/>
      </w:pPr>
      <w:r>
        <w:rPr>
          <w:b w:val="0"/>
          <w:i w:val="0"/>
          <w:color w:val="1A1A2E"/>
          <w:sz w:val="22"/>
        </w:rPr>
        <w:t>The two underlying scores are combined into a composite biodiversity_score on a 0–100 scale, computed as (encore × 10) + (aqueduct × 10). Companies are then tiered:</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Nature Risk Tier</w:t>
            </w:r>
          </w:p>
        </w:tc>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Composite Score</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Universe Distribution</w:t>
            </w:r>
          </w:p>
        </w:tc>
        <w:tc>
          <w:tcPr>
            <w:tcW w:type="dxa" w:w="255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Portfolio Holdings</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0–29</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189 companies (88.7%)</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24 of 30</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30–49</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72 companies (33.8%)</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5 of 30</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50+</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18 companies (8.5%)</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 of 30</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Very High</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trigger</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Hard exclusion trigger</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 of 30</w:t>
            </w:r>
          </w:p>
        </w:tc>
      </w:tr>
    </w:tbl>
    <w:p/>
    <w:p>
      <w:pPr>
        <w:spacing w:after="120" w:before="0"/>
      </w:pPr>
      <w:r>
        <w:rPr>
          <w:b w:val="0"/>
          <w:i w:val="0"/>
          <w:color w:val="1A1A2E"/>
          <w:sz w:val="22"/>
        </w:rPr>
        <w:t>5 portfolio holdings fall in the Medium nature-risk tier: Benefit Systems SA, Alfa Laval AB, Swiss Prime Site AG, ABB Ltd, Halma PLC. Both score elevated on ENCORE due to supply-chain dependency on industrial ecosystems and on WRI Aqueduct due to manufacturing concentration in water-stressed regions.</w:t>
      </w:r>
    </w:p>
    <w:p>
      <w:pPr>
        <w:pStyle w:val="Heading2"/>
        <w:spacing w:before="200" w:after="120"/>
      </w:pPr>
      <w:r>
        <w:rPr>
          <w:b/>
          <w:color w:val="2E75B6"/>
        </w:rPr>
        <w:t>7.3  Limitations</w:t>
      </w:r>
    </w:p>
    <w:p>
      <w:pPr>
        <w:spacing w:after="120" w:before="0"/>
      </w:pPr>
      <w:r>
        <w:rPr>
          <w:b w:val="0"/>
          <w:i/>
          <w:color w:val="707070"/>
          <w:sz w:val="22"/>
        </w:rPr>
        <w:t>The biodiversity assessment is a sector-level proxy, not a company-level disclosure. ENCORE and WRI Aqueduct scores apply to the company's primary BICS sector and country, not to its specific operations, suppliers, or geographic footprint. This is a known weakness of the proxy approach and is expected to narrow as TNFD disclosures become more widespread (mandated for large EU companies from 2026 onwards under CSRD/ESRS E4).</w:t>
      </w:r>
    </w:p>
    <w:p>
      <w:r>
        <w:br w:type="page"/>
      </w:r>
    </w:p>
    <w:p>
      <w:pPr>
        <w:pStyle w:val="Heading1"/>
        <w:spacing w:before="360" w:after="120"/>
      </w:pPr>
      <w:r>
        <w:rPr>
          <w:b/>
          <w:color w:val="1F497D"/>
        </w:rPr>
        <w:t>Section 8: EU Taxonomy &amp; SFDR Compliance</w:t>
      </w:r>
    </w:p>
    <w:p>
      <w:pPr>
        <w:pStyle w:val="Heading2"/>
        <w:spacing w:before="200" w:after="120"/>
      </w:pPr>
      <w:r>
        <w:rPr>
          <w:b/>
          <w:color w:val="2E75B6"/>
        </w:rPr>
        <w:t>8.1  EU Taxonomy — Eligibility vs Alignment</w:t>
      </w:r>
    </w:p>
    <w:p>
      <w:pPr>
        <w:spacing w:after="120" w:before="0"/>
      </w:pPr>
      <w:r>
        <w:rPr>
          <w:b w:val="0"/>
          <w:i w:val="0"/>
          <w:color w:val="1A1A2E"/>
          <w:sz w:val="22"/>
        </w:rPr>
        <w:t>The pipeline treats EU Taxonomy eligibility and reported alignment as two distinct concepts that must never be conflated. Eligibility means an economic activity could in principle qualify under the Taxonomy's technical screening criteria. Alignment means a company has formally reported conformance with those criteria. These are not the same thing and the difference matters for portfolio claims.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Coverage in universe</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Used in composite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Taxonomy eligibility</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 of revenue from activities potentially eligible under EU Taxonomy criteria</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130 of 213 (61.0%)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 alongside composite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Taxonomy alignment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 of revenue from activities reported as aligned with technical screening criteria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54 of 213 (25.4%)</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 — too sparse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DNSH indicators</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Do No Significant Harm scores for Objectives 1–4</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 estimates only</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 — supplementary</w:t>
            </w:r>
          </w:p>
        </w:tc>
      </w:tr>
    </w:tbl>
    <w:p/>
    <w:p>
      <w:pPr>
        <w:spacing w:after="120" w:before="0"/>
      </w:pPr>
      <w:r>
        <w:rPr>
          <w:b w:val="0"/>
          <w:i/>
          <w:color w:val="707070"/>
          <w:sz w:val="22"/>
        </w:rPr>
        <w:t>EU Taxonomy eligibility is reported per holding for SFDR disclosure but does not enter the composite ranking formula directly in the current pipeline (the financial component is Agent 10's composite_financial_score; the ESG component is the SASB-weighted ESG_score). Reported alignment, while preferable in principle, is too sparse in this universe to drive ranking — only 54 of 213 companies have non-null alignment data.</w:t>
      </w:r>
    </w:p>
    <w:p>
      <w:pPr>
        <w:pStyle w:val="Heading2"/>
        <w:spacing w:before="200" w:after="120"/>
      </w:pPr>
      <w:r>
        <w:rPr>
          <w:b/>
          <w:color w:val="2E75B6"/>
        </w:rPr>
        <w:t>8.2  SFDR Article 8 Compliance</w:t>
      </w:r>
    </w:p>
    <w:p>
      <w:pPr>
        <w:spacing w:after="120" w:before="0"/>
      </w:pPr>
      <w:r>
        <w:rPr>
          <w:b w:val="0"/>
          <w:i w:val="0"/>
          <w:color w:val="1A1A2E"/>
          <w:sz w:val="22"/>
        </w:rPr>
        <w:t>The fund is designed to meet SFDR Article 8 principles (a financial product that promotes environmental or social characteristics). Article 8 requires: (a) disclosure of how the promoted characteristics are met; (b) reporting on the 18 mandatory Principal Adverse Impact (PAI) indicators where data is available; and (c) negative screening of activities incompatible with the promoted characteristics. The pipeline addresses all three:</w:t>
      </w:r>
    </w:p>
    <w:p>
      <w:pPr>
        <w:pStyle w:val="ListBullet"/>
        <w:spacing w:after="60"/>
        <w:ind w:left="283"/>
      </w:pPr>
      <w:r>
        <w:rPr>
          <w:b/>
          <w:color w:val="1A1A2E"/>
          <w:sz w:val="22"/>
        </w:rPr>
        <w:t xml:space="preserve">(a) Characteristics: </w:t>
      </w:r>
      <w:r>
        <w:rPr>
          <w:color w:val="1A1A2E"/>
          <w:sz w:val="22"/>
        </w:rPr>
        <w:t>the composite score formula and exclusion rules disclosed in Section 2 constitute the documented characteristics promoted by the fund;</w:t>
      </w:r>
    </w:p>
    <w:p>
      <w:pPr>
        <w:pStyle w:val="ListBullet"/>
        <w:spacing w:after="60"/>
        <w:ind w:left="283"/>
      </w:pPr>
      <w:r>
        <w:rPr>
          <w:b/>
          <w:color w:val="1A1A2E"/>
          <w:sz w:val="22"/>
        </w:rPr>
        <w:t xml:space="preserve">(b) PAI reporting: </w:t>
      </w:r>
      <w:r>
        <w:rPr>
          <w:color w:val="1A1A2E"/>
          <w:sz w:val="22"/>
        </w:rPr>
        <w:t>the PAI coverage table produced by Agent 8 documents which of the 18 mandatory indicators have data coverage in the universe and which are flagged MISSING;</w:t>
      </w:r>
    </w:p>
    <w:p>
      <w:pPr>
        <w:pStyle w:val="ListBullet"/>
        <w:spacing w:after="60"/>
        <w:ind w:left="283"/>
      </w:pPr>
      <w:r>
        <w:rPr>
          <w:b/>
          <w:color w:val="1A1A2E"/>
          <w:sz w:val="22"/>
        </w:rPr>
        <w:t xml:space="preserve">(c) Negative screening: </w:t>
      </w:r>
      <w:r>
        <w:rPr>
          <w:color w:val="1A1A2E"/>
          <w:sz w:val="22"/>
        </w:rPr>
        <w:t>the hard exclusion list (thermal coal, tobacco, controversial weapons, high greenwashing risk) implements the negative screening required by Article 8.</w:t>
      </w:r>
    </w:p>
    <w:p/>
    <w:p>
      <w:pPr>
        <w:pStyle w:val="Heading2"/>
        <w:spacing w:before="200" w:after="120"/>
      </w:pPr>
      <w:r>
        <w:rPr>
          <w:b/>
          <w:color w:val="2E75B6"/>
        </w:rPr>
        <w:t>8.3  Caveat — Academic Prototype</w:t>
      </w:r>
    </w:p>
    <w:p>
      <w:pPr>
        <w:spacing w:after="120" w:before="0"/>
      </w:pPr>
      <w:r>
        <w:rPr>
          <w:b w:val="0"/>
          <w:i/>
          <w:color w:val="707070"/>
          <w:sz w:val="22"/>
        </w:rPr>
        <w:t>This fund is an academic prototype produced for ESADE MSc Finance. It is not a registered Article 8 product under SFDR, has not been notified to any national competent authority, and the PAI reporting produced by the pipeline has not been audited. The Article 8 framing is methodological — it describes how the pipeline would meet Article 8 if the prototype were to be productionised.</w:t>
      </w:r>
    </w:p>
    <w:p>
      <w:r>
        <w:br w:type="page"/>
      </w:r>
    </w:p>
    <w:p>
      <w:pPr>
        <w:pStyle w:val="Heading1"/>
        <w:spacing w:before="360" w:after="120"/>
      </w:pPr>
      <w:r>
        <w:rPr>
          <w:b/>
          <w:color w:val="1F497D"/>
        </w:rPr>
        <w:t>Section 9: Greenwashing Assessment Framework</w:t>
      </w:r>
    </w:p>
    <w:p>
      <w:pPr>
        <w:pStyle w:val="Heading2"/>
        <w:spacing w:before="200" w:after="120"/>
      </w:pPr>
      <w:r>
        <w:rPr>
          <w:b/>
          <w:color w:val="2E75B6"/>
        </w:rPr>
        <w:t>9.1  Why a Forensic Framework</w:t>
      </w:r>
    </w:p>
    <w:p>
      <w:pPr>
        <w:spacing w:after="120" w:before="0"/>
      </w:pPr>
      <w:r>
        <w:rPr>
          <w:b w:val="0"/>
          <w:i w:val="0"/>
          <w:color w:val="1A1A2E"/>
          <w:sz w:val="22"/>
        </w:rPr>
        <w:t>Conventional ESG ratings are vulnerable to corporate communication strategies designed to create the appearance of sustainability without substantive operational change. Companies can issue ambitious-sounding targets without specifying metrics, baselines, or verification regimes. The greenwashing assessment framework is an independent forensic layer applied on top of quantitative ESG scoring, designed to surface and penalise these patterns.</w:t>
      </w:r>
    </w:p>
    <w:p>
      <w:pPr>
        <w:pStyle w:val="Heading2"/>
        <w:spacing w:before="200" w:after="120"/>
      </w:pPr>
      <w:r>
        <w:rPr>
          <w:b/>
          <w:color w:val="2E75B6"/>
        </w:rPr>
        <w:t>9.2  The 8-Test Framework</w:t>
      </w:r>
    </w:p>
    <w:p>
      <w:pPr>
        <w:spacing w:after="120" w:before="0"/>
      </w:pPr>
      <w:r>
        <w:rPr>
          <w:b w:val="0"/>
          <w:i w:val="0"/>
          <w:color w:val="1A1A2E"/>
          <w:sz w:val="22"/>
        </w:rPr>
        <w:t>Each portfolio candidate is assessed across eight dimensions. For each dimension the analyst (or, in the current build, Claude operating in retrieval-augmented mode against the company's sustainability report) provides: a direct quote with page number, the numerical value or factual statement, a red-flag rating (LOW / MED / HIGH / MISSING), and one to two sentences of reasoning. If a dimension lacks supporting evidence, it is rated MISSING — never invented.</w:t>
      </w:r>
    </w:p>
    <w:tbl>
      <w:tblPr>
        <w:tblStyle w:val="TableGrid"/>
        <w:tblW w:type="auto" w:w="0"/>
        <w:tblLook w:firstColumn="1" w:firstRow="1" w:lastColumn="0" w:lastRow="0" w:noHBand="0" w:noVBand="1" w:val="04A0"/>
      </w:tblPr>
      <w:tblGrid>
        <w:gridCol w:w="2351"/>
        <w:gridCol w:w="2351"/>
        <w:gridCol w:w="2351"/>
        <w:gridCol w:w="2351"/>
      </w:tblGrid>
      <w:tr>
        <w:tc>
          <w:tcPr>
            <w:tcW w:type="dxa" w:w="45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t>
            </w:r>
          </w:p>
        </w:tc>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Dimension</w:t>
            </w:r>
          </w:p>
        </w:tc>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What It Tests</w:t>
            </w:r>
          </w:p>
        </w:tc>
        <w:tc>
          <w:tcPr>
            <w:tcW w:type="dxa" w:w="379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Red Flag</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Specificity</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Exact wording of the claim</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Vague terms like 'committed to'</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Metric</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Whether a specific number backs the claim</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 numeric backing</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Baseline</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What the claim is measured against</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Baseline absent or cherry-picked</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Target</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The stated endpoint of the commitment</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Non-binding or missing endpoint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Time Horizon</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By when the target will be achieved</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2050+ with no interim milestones</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6</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Scope</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Which division, asset, or geography the claim covers</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Ambiguous or selective coverage</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External Validation</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Whether the claim is third-party verified</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Self-reported only</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8</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Behavioural Consistency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Whether capex/lobbying matches claims</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Contradiction between rhetoric and behaviour</w:t>
            </w:r>
          </w:p>
        </w:tc>
      </w:tr>
    </w:tbl>
    <w:p/>
    <w:p>
      <w:pPr>
        <w:pStyle w:val="Heading2"/>
        <w:spacing w:before="200" w:after="120"/>
      </w:pPr>
      <w:r>
        <w:rPr>
          <w:b/>
          <w:color w:val="2E75B6"/>
        </w:rPr>
        <w:t>9.3  Standard Claude Projects Prompt</w:t>
      </w:r>
    </w:p>
    <w:p>
      <w:pPr>
        <w:spacing w:after="120" w:before="0"/>
      </w:pPr>
      <w:r>
        <w:rPr>
          <w:b w:val="0"/>
          <w:i w:val="0"/>
          <w:color w:val="1A1A2E"/>
          <w:sz w:val="22"/>
        </w:rPr>
        <w:t>Each company corpus is uploaded to a dedicated Claude Project. The standard prompt fired against each project is reproduced verbatim below to support audit and reproducibility:</w:t>
      </w:r>
    </w:p>
    <w:p>
      <w:pPr>
        <w:spacing w:after="120" w:before="0"/>
      </w:pPr>
      <w:r>
        <w:rPr>
          <w:b w:val="0"/>
          <w:i/>
          <w:color w:val="707070"/>
          <w:sz w:val="22"/>
        </w:rPr>
        <w:t>"You are an ESG forensic analyst. For [COMPANY], analyse the most recent sustainability report and assess each of the 8 greenwashing dimensions. For each dimension provide: (a) direct quote with page number, (b) numerical value or factual statement, (c) red-flag rating (LOW / MED / HIGH / MISSING), and (d) one to two sentences of reasoning. If a dimension has no information, mark it as MISSING — never invent. Output as JSON with 8 fields."</w:t>
      </w:r>
    </w:p>
    <w:p>
      <w:pPr>
        <w:pStyle w:val="Heading2"/>
        <w:spacing w:before="200" w:after="120"/>
      </w:pPr>
      <w:r>
        <w:rPr>
          <w:b/>
          <w:color w:val="2E75B6"/>
        </w:rPr>
        <w:t>9.4  Scoring Rules &amp; Verification Protocol</w:t>
      </w:r>
    </w:p>
    <w:p>
      <w:pPr>
        <w:pStyle w:val="ListBullet"/>
        <w:spacing w:after="60"/>
        <w:ind w:left="283"/>
      </w:pPr>
      <w:r>
        <w:rPr>
          <w:b/>
          <w:color w:val="1A1A2E"/>
          <w:sz w:val="22"/>
        </w:rPr>
        <w:t xml:space="preserve">Exclusion: </w:t>
      </w:r>
      <w:r>
        <w:rPr>
          <w:color w:val="1A1A2E"/>
          <w:sz w:val="22"/>
        </w:rPr>
        <w:t>HIGH on three or more dimensions → automatic hard exclusion from the portfolio</w:t>
      </w:r>
    </w:p>
    <w:p>
      <w:pPr>
        <w:pStyle w:val="ListBullet"/>
        <w:spacing w:after="60"/>
        <w:ind w:left="283"/>
      </w:pPr>
      <w:r>
        <w:rPr>
          <w:b/>
          <w:color w:val="1A1A2E"/>
          <w:sz w:val="22"/>
        </w:rPr>
        <w:t xml:space="preserve">Watchlist: </w:t>
      </w:r>
      <w:r>
        <w:rPr>
          <w:color w:val="1A1A2E"/>
          <w:sz w:val="22"/>
        </w:rPr>
        <w:t>HIGH on exactly two dimensions → watchlist; requires human review before inclusion</w:t>
      </w:r>
    </w:p>
    <w:p>
      <w:pPr>
        <w:pStyle w:val="ListBullet"/>
        <w:spacing w:after="60"/>
        <w:ind w:left="283"/>
      </w:pPr>
      <w:r>
        <w:rPr>
          <w:b/>
          <w:color w:val="1A1A2E"/>
          <w:sz w:val="22"/>
        </w:rPr>
        <w:t xml:space="preserve">Random verification: </w:t>
      </w:r>
      <w:r>
        <w:rPr>
          <w:color w:val="1A1A2E"/>
          <w:sz w:val="22"/>
        </w:rPr>
        <w:t>30% of all RAG extractions are manually verified by the RAG Operator against the source PDF page</w:t>
      </w:r>
    </w:p>
    <w:p>
      <w:pPr>
        <w:pStyle w:val="ListBullet"/>
        <w:spacing w:after="60"/>
        <w:ind w:left="283"/>
      </w:pPr>
      <w:r>
        <w:rPr>
          <w:b/>
          <w:color w:val="1A1A2E"/>
          <w:sz w:val="22"/>
        </w:rPr>
        <w:t xml:space="preserve">Decision verification: </w:t>
      </w:r>
      <w:r>
        <w:rPr>
          <w:color w:val="1A1A2E"/>
          <w:sz w:val="22"/>
        </w:rPr>
        <w:t>100% of extractions driving an exclusion or watchlist decision are independently re-verified</w:t>
      </w:r>
    </w:p>
    <w:p/>
    <w:p>
      <w:pPr>
        <w:pStyle w:val="Heading2"/>
        <w:spacing w:before="200" w:after="120"/>
      </w:pPr>
      <w:r>
        <w:rPr>
          <w:b/>
          <w:color w:val="2E75B6"/>
        </w:rPr>
        <w:t>9.5  Current Status &amp; Expected Impact</w:t>
      </w:r>
    </w:p>
    <w:p>
      <w:pPr>
        <w:spacing w:after="120" w:before="0"/>
      </w:pPr>
      <w:r>
        <w:rPr>
          <w:b w:val="0"/>
          <w:i w:val="0"/>
          <w:color w:val="1A1A2E"/>
          <w:sz w:val="22"/>
        </w:rPr>
        <w:t>At the time of writing, the 40-company PDF library (annual and sustainability reports for all 20 portfolio holdings plus 20 Deep Review near-misses) is being assembled by the RAG Operator. Greenwashing scoring will be completed before final submission.</w:t>
      </w:r>
    </w:p>
    <w:p>
      <w:pPr>
        <w:spacing w:after="120" w:before="0"/>
      </w:pPr>
      <w:r>
        <w:rPr>
          <w:b w:val="0"/>
          <w:i/>
          <w:color w:val="707070"/>
          <w:sz w:val="22"/>
        </w:rPr>
        <w:t>Expected impact: based on historical greenwashing prevalence in European large-cap equities (typically 5–15% exclusion rate in independent forensic studies), we anticipate 1–3 of the 30 current portfolio holdings will shift once screening completes. The composite score rankings have been constructed such that the next-best candidates (ranks 21–25) are immediately substitutable.</w:t>
      </w:r>
    </w:p>
    <w:p>
      <w:r>
        <w:br w:type="page"/>
      </w:r>
    </w:p>
    <w:p>
      <w:pPr>
        <w:pStyle w:val="Heading1"/>
        <w:spacing w:before="360" w:after="120"/>
      </w:pPr>
      <w:r>
        <w:rPr>
          <w:b/>
          <w:color w:val="1F497D"/>
        </w:rPr>
        <w:t>Section 10: Portfolio Construction &amp; Optimisation</w:t>
      </w:r>
    </w:p>
    <w:p>
      <w:pPr>
        <w:pStyle w:val="Heading2"/>
        <w:spacing w:before="200" w:after="120"/>
      </w:pPr>
      <w:r>
        <w:rPr>
          <w:b/>
          <w:color w:val="2E75B6"/>
        </w:rPr>
        <w:t>10.1  Construction Sequence</w:t>
      </w:r>
    </w:p>
    <w:p>
      <w:pPr>
        <w:spacing w:after="120" w:before="0"/>
      </w:pPr>
      <w:r>
        <w:rPr>
          <w:b w:val="0"/>
          <w:i w:val="0"/>
          <w:color w:val="1A1A2E"/>
          <w:sz w:val="22"/>
        </w:rPr>
        <w:t>Portfolio construction proceeds in five sequential steps. The order matters: exclusion rules are applied before ranking so that excluded companies cannot influence percentile normalisations, and ranking is applied before weighting so that the top N are selected on merit rather than weight-stuffing dynamics.</w:t>
      </w:r>
    </w:p>
    <w:tbl>
      <w:tblPr>
        <w:tblStyle w:val="TableGrid"/>
        <w:tblW w:type="auto" w:w="0"/>
        <w:tblLook w:firstColumn="1" w:firstRow="1" w:lastColumn="0" w:lastRow="0" w:noHBand="0" w:noVBand="1" w:val="04A0"/>
      </w:tblPr>
      <w:tblGrid>
        <w:gridCol w:w="3135"/>
        <w:gridCol w:w="3135"/>
        <w:gridCol w:w="3135"/>
      </w:tblGrid>
      <w:tr>
        <w:tc>
          <w:tcPr>
            <w:tcW w:type="dxa" w:w="68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Step</w:t>
            </w:r>
          </w:p>
        </w:tc>
        <w:tc>
          <w:tcPr>
            <w:tcW w:type="dxa" w:w="51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Action</w:t>
            </w:r>
          </w:p>
        </w:tc>
        <w:tc>
          <w:tcPr>
            <w:tcW w:type="dxa" w:w="385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Output</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Merge upstream scores (ESG, financial, biodiversity, EU regulation) on Bloomberg ticker, with yf_ticker bridge</w:t>
            </w:r>
          </w:p>
        </w:tc>
        <w:tc>
          <w:tcPr>
            <w:tcW w:type="dxa" w:w="385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Combined scoring table</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Apply hard exclusions: subsidiaries, no-ESG-data, greenwashing, nature-risk, ESG floor</w:t>
            </w:r>
          </w:p>
        </w:tc>
        <w:tc>
          <w:tcPr>
            <w:tcW w:type="dxa" w:w="385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Eligible universe — 191 companies</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Compute composite_score = (ESG_score × 0.40) + (composite_financial_score × 0.60)</w:t>
            </w:r>
          </w:p>
        </w:tc>
        <w:tc>
          <w:tcPr>
            <w:tcW w:type="dxa" w:w="385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Ranked universe with composite_score 0–100</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Select top 30 by composite_score, subject to sector diversification ≥ 5 sectors</w:t>
            </w:r>
          </w:p>
        </w:tc>
        <w:tc>
          <w:tcPr>
            <w:tcW w:type="dxa" w:w="385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Final 30-stock portfolio</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Assign equal weights and rescale so weights sum to 1.00; cap any holding at 10.0%</w:t>
            </w:r>
          </w:p>
        </w:tc>
        <w:tc>
          <w:tcPr>
            <w:tcW w:type="dxa" w:w="385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Final weights, max 3.6%, sum 100%</w:t>
            </w:r>
          </w:p>
        </w:tc>
      </w:tr>
    </w:tbl>
    <w:p/>
    <w:p>
      <w:pPr>
        <w:pStyle w:val="Heading2"/>
        <w:spacing w:before="200" w:after="120"/>
      </w:pPr>
      <w:r>
        <w:rPr>
          <w:b/>
          <w:color w:val="2E75B6"/>
        </w:rPr>
        <w:t>10.2  Composite Score Formula</w:t>
      </w:r>
    </w:p>
    <w:p>
      <w:pPr>
        <w:spacing w:after="120" w:before="0"/>
      </w:pPr>
      <w:r>
        <w:rPr>
          <w:b/>
          <w:i w:val="0"/>
          <w:color w:val="1A1A2E"/>
          <w:sz w:val="22"/>
        </w:rPr>
        <w:t>Composite Score = (ESG_score × 0.40) + (composite_financial_score × 0.60). Both inputs are normalised to a 0–100 scale before weighting. ESG_score is the SASB-sector-weighted aggregate of the E, S, and G pillar scores (Section 5). composite_financial_score is the weighted aggregate of M-01 (ROIC–WACC, 25%), M-02 (FCF Conversion, 25%), M-03 (FCCR + Net Debt/EBITDA, 20%), M-04 (Sloan Accruals, 15%), and additional quality gates produced by Agent 10. If either component is missing for a given company, the company is excluded from final ranking rather than weight-redistributed — missing data is treated as a data-quality failure under the hallucination-control policy.</w:t>
      </w:r>
    </w:p>
    <w:p>
      <w:pPr>
        <w:pStyle w:val="Heading2"/>
        <w:spacing w:before="200" w:after="120"/>
      </w:pPr>
      <w:r>
        <w:rPr>
          <w:b/>
          <w:color w:val="2E75B6"/>
        </w:rPr>
        <w:t>10.3  Sector Diversification Constraint</w:t>
      </w:r>
    </w:p>
    <w:p>
      <w:pPr>
        <w:spacing w:after="120" w:before="0"/>
      </w:pPr>
      <w:r>
        <w:rPr>
          <w:b w:val="0"/>
          <w:i w:val="0"/>
          <w:color w:val="1A1A2E"/>
          <w:sz w:val="22"/>
        </w:rPr>
        <w:t>The mandate requires a minimum of 5 BICS Level-1 sectors. The final portfolio contains 7 sectors — exceeding the minimum and reducing concentration risk.</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Sector</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Holdings</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Total Weight</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70.0%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Industrials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13.0%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Health Care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3.6%</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Energy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Materials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3.4%</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Utilities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3.2%</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Real Estate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3.2%</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Total</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100.0%</w:t>
            </w:r>
          </w:p>
        </w:tc>
      </w:tr>
    </w:tbl>
    <w:p/>
    <w:p>
      <w:pPr>
        <w:pStyle w:val="Heading2"/>
        <w:spacing w:before="200" w:after="120"/>
      </w:pPr>
      <w:r>
        <w:rPr>
          <w:b/>
          <w:color w:val="2E75B6"/>
        </w:rPr>
        <w:t>10.4  Weight Cap &amp; Concentration</w:t>
      </w:r>
    </w:p>
    <w:p>
      <w:pPr>
        <w:spacing w:after="120" w:before="0"/>
      </w:pPr>
      <w:r>
        <w:rPr>
          <w:b w:val="0"/>
          <w:i w:val="0"/>
          <w:color w:val="1A1A2E"/>
          <w:sz w:val="22"/>
        </w:rPr>
        <w:t>The mandate's 10.0% maximum single-weight cap is non-binding in the current portfolio — the largest holding (VZ Holding AG, IHJN) carries 3.6%. The lowest weight is 3.2%. The narrow weight band reflects the equal-weight starting point of the construction process and is intentional: it avoids concentration risk from over-weighting any single conviction.</w:t>
      </w:r>
    </w:p>
    <w:p>
      <w:pPr>
        <w:pStyle w:val="Heading2"/>
        <w:spacing w:before="200" w:after="120"/>
      </w:pPr>
      <w:r>
        <w:rPr>
          <w:b/>
          <w:color w:val="2E75B6"/>
        </w:rPr>
        <w:t>10.5  Exclusion Audit</w:t>
      </w:r>
    </w:p>
    <w:p>
      <w:pPr>
        <w:spacing w:after="120" w:before="0"/>
      </w:pPr>
      <w:r>
        <w:rPr>
          <w:b w:val="0"/>
          <w:i w:val="0"/>
          <w:color w:val="1A1A2E"/>
          <w:sz w:val="22"/>
        </w:rPr>
        <w:t>22 companies were excluded from portfolio consideration. The exclusion log is summarised below and presented in full in the Data Dictionary appendix.</w:t>
      </w:r>
    </w:p>
    <w:tbl>
      <w:tblPr>
        <w:tblStyle w:val="TableGrid"/>
        <w:tblW w:type="auto" w:w="0"/>
        <w:tblLook w:firstColumn="1" w:firstRow="1" w:lastColumn="0" w:lastRow="0" w:noHBand="0" w:noVBand="1" w:val="04A0"/>
      </w:tblPr>
      <w:tblGrid>
        <w:gridCol w:w="4703"/>
        <w:gridCol w:w="4703"/>
      </w:tblGrid>
      <w:tr>
        <w:tc>
          <w:tcPr>
            <w:tcW w:type="dxa" w:w="6803"/>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Exclusion Reason</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Count</w:t>
            </w:r>
          </w:p>
        </w:tc>
      </w:tr>
      <w:tr>
        <w:tc>
          <w:tcPr>
            <w:tcW w:type="dxa" w:w="680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Other</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21</w:t>
            </w:r>
          </w:p>
        </w:tc>
      </w:tr>
      <w:tr>
        <w:tc>
          <w:tcPr>
            <w:tcW w:type="dxa" w:w="680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Subsidiary filter</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r>
      <w:tr>
        <w:tc>
          <w:tcPr>
            <w:tcW w:type="dxa" w:w="680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Greenwashing 8-Test HIGH on 3+ dimensions</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 (pending)</w:t>
            </w:r>
          </w:p>
        </w:tc>
      </w:tr>
      <w:tr>
        <w:tc>
          <w:tcPr>
            <w:tcW w:type="dxa" w:w="680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Total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22</w:t>
            </w:r>
          </w:p>
        </w:tc>
      </w:tr>
    </w:tbl>
    <w:p/>
    <w:p>
      <w:r>
        <w:br w:type="page"/>
      </w:r>
    </w:p>
    <w:p>
      <w:pPr>
        <w:pStyle w:val="Heading1"/>
        <w:spacing w:before="360" w:after="120"/>
      </w:pPr>
      <w:r>
        <w:rPr>
          <w:b/>
          <w:color w:val="1F497D"/>
        </w:rPr>
        <w:t>Section 11: Portfolio Results &amp; Attribution</w:t>
      </w:r>
    </w:p>
    <w:p>
      <w:pPr>
        <w:pStyle w:val="Heading2"/>
        <w:spacing w:before="200" w:after="120"/>
      </w:pPr>
      <w:r>
        <w:rPr>
          <w:b/>
          <w:color w:val="2E75B6"/>
        </w:rPr>
        <w:t>11.1  Final 20-Holding Portfolio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68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Rank</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Ticker</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Company</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Sector</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ESG</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Sharpe</w:t>
            </w:r>
          </w:p>
        </w:tc>
        <w:tc>
          <w:tcPr>
            <w:tcW w:type="dxa" w:w="102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Weight</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IHJN</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VZ Holding AG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94.9</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0.59</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3.6%</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UNC</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UCB SA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Health Care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85.2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0.71</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3.6%</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ZFIN</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Zurich Insurance Group AG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96.6</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0.66</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4</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IHCB</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SBM Offshore NV</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Energy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97.0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0.78</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HBC1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HSBC Holdings PLC</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93.2</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0.78</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6</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AXA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AXA SA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91.1</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0.70</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SR9</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Swiss Re AG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95.4</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0.53</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3.4%</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8</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NOH1</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Norsk Hydro ASA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Materials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99.2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0.53</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3.4%</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RYSD</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NatWest Group PLC</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96.2</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0.55</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3.4%</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IES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Intesa Sanpaolo SpA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86.9</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0.85</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3.4%</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11</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3ZV</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Benefit Systems SA</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Industrials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69.2</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0.80</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A5G</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AIB Group PLC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97.9</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0.85</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13</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BIRG</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Bank of Ireland Group PLC</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94.5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n/a</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14</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2D7</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Beazley PLC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89.0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0.82</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ENXB</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Euronext NV</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79.3</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0.49</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16</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SLW</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Swiss Life Holding AG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72.2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0.74</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GU81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Aviva PLC</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94.1</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n/a</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18</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AA9</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Alfa Laval AB</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Industrials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99.6</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0.43</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19</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ASG</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Assicurazioni Generali SpA</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63.7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1.01</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ALV</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Allianz SE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74.3</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0.70</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21</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TBCG</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TBC Bank Group PLC</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92.4</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n/a</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3.3%</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RAW</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Raiffeisen Bank International AG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100.0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0.54</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23</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CRIN</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UniCredit SpA</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90.7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1.15</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24</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EOAN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E.ON SE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Utilities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73.0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0.61</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SU1N</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Swiss Prime Site AG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Real Estate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85.7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0.56</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26</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04Q</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Nordea Bank Abp</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88.6</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n/a</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ABJ</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ABB Ltd</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Industrials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86.1</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0.83</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28</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IYYA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Investec Ltd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88.2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n/a</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29</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6GF</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ING Bank Slaski SA</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87.8</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n/a</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H11</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Halma PLC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Industrials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76.4</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0.34</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3.2%</w:t>
            </w:r>
          </w:p>
        </w:tc>
      </w:tr>
    </w:tbl>
    <w:p/>
    <w:p>
      <w:pPr>
        <w:pStyle w:val="Heading2"/>
        <w:spacing w:before="200" w:after="120"/>
      </w:pPr>
      <w:r>
        <w:rPr>
          <w:b/>
          <w:color w:val="2E75B6"/>
        </w:rPr>
        <w:t>11.2  Portfolio vs Universe ESG Comparison</w:t>
      </w:r>
    </w:p>
    <w:p>
      <w:pPr>
        <w:spacing w:after="120" w:before="0"/>
      </w:pPr>
      <w:r>
        <w:rPr>
          <w:b w:val="0"/>
          <w:i w:val="0"/>
          <w:color w:val="1A1A2E"/>
          <w:sz w:val="22"/>
        </w:rPr>
        <w:t>The portfolio delivers a meaningful ESG uplift relative to the broader universe across all three pillars. The chart below presents the weighted portfolio scores alongside the equal-weighted universe averages.</w:t>
      </w:r>
    </w:p>
    <w:p>
      <w:pPr>
        <w:jc w:val="center"/>
      </w:pPr>
      <w:r>
        <w:drawing>
          <wp:inline xmlns:a="http://schemas.openxmlformats.org/drawingml/2006/main" xmlns:pic="http://schemas.openxmlformats.org/drawingml/2006/picture">
            <wp:extent cx="4680000" cy="2600000"/>
            <wp:docPr id="2" name="Picture 2"/>
            <wp:cNvGraphicFramePr>
              <a:graphicFrameLocks noChangeAspect="1"/>
            </wp:cNvGraphicFramePr>
            <a:graphic>
              <a:graphicData uri="http://schemas.openxmlformats.org/drawingml/2006/picture">
                <pic:pic>
                  <pic:nvPicPr>
                    <pic:cNvPr id="0" name="esg_comparison.png"/>
                    <pic:cNvPicPr/>
                  </pic:nvPicPr>
                  <pic:blipFill>
                    <a:blip r:embed="rId9"/>
                    <a:stretch>
                      <a:fillRect/>
                    </a:stretch>
                  </pic:blipFill>
                  <pic:spPr>
                    <a:xfrm>
                      <a:off x="0" y="0"/>
                      <a:ext cx="4680000" cy="2600000"/>
                    </a:xfrm>
                    <a:prstGeom prst="rect"/>
                  </pic:spPr>
                </pic:pic>
              </a:graphicData>
            </a:graphic>
          </wp:inline>
        </w:drawing>
      </w:r>
    </w:p>
    <w:p>
      <w:pPr>
        <w:jc w:val="center"/>
      </w:pPr>
      <w:r>
        <w:rPr>
          <w:i/>
          <w:color w:val="707070"/>
          <w:sz w:val="18"/>
        </w:rPr>
        <w:t>Figure 11.1 — Portfolio ESG vs Universe ESG, by pillar</w:t>
      </w:r>
    </w:p>
    <w:p>
      <w:pPr>
        <w:pStyle w:val="Heading2"/>
        <w:spacing w:before="200" w:after="120"/>
      </w:pPr>
      <w:r>
        <w:rPr>
          <w:b/>
          <w:color w:val="2E75B6"/>
        </w:rPr>
        <w:t>11.3  Sector Allocation</w:t>
      </w:r>
    </w:p>
    <w:p>
      <w:pPr>
        <w:jc w:val="center"/>
      </w:pPr>
      <w:r>
        <w:drawing>
          <wp:inline xmlns:a="http://schemas.openxmlformats.org/drawingml/2006/main" xmlns:pic="http://schemas.openxmlformats.org/drawingml/2006/picture">
            <wp:extent cx="4680000" cy="4680000"/>
            <wp:docPr id="3" name="Picture 3"/>
            <wp:cNvGraphicFramePr>
              <a:graphicFrameLocks noChangeAspect="1"/>
            </wp:cNvGraphicFramePr>
            <a:graphic>
              <a:graphicData uri="http://schemas.openxmlformats.org/drawingml/2006/picture">
                <pic:pic>
                  <pic:nvPicPr>
                    <pic:cNvPr id="0" name="sector_allocation.png"/>
                    <pic:cNvPicPr/>
                  </pic:nvPicPr>
                  <pic:blipFill>
                    <a:blip r:embed="rId10"/>
                    <a:stretch>
                      <a:fillRect/>
                    </a:stretch>
                  </pic:blipFill>
                  <pic:spPr>
                    <a:xfrm>
                      <a:off x="0" y="0"/>
                      <a:ext cx="4680000" cy="4680000"/>
                    </a:xfrm>
                    <a:prstGeom prst="rect"/>
                  </pic:spPr>
                </pic:pic>
              </a:graphicData>
            </a:graphic>
          </wp:inline>
        </w:drawing>
      </w:r>
    </w:p>
    <w:p>
      <w:pPr>
        <w:jc w:val="center"/>
      </w:pPr>
      <w:r>
        <w:rPr>
          <w:i/>
          <w:color w:val="707070"/>
          <w:sz w:val="18"/>
        </w:rPr>
        <w:t>Figure 11.2 — Portfolio sector allocation (by weight)</w:t>
      </w:r>
    </w:p>
    <w:p>
      <w:pPr>
        <w:pStyle w:val="Heading2"/>
        <w:spacing w:before="200" w:after="120"/>
      </w:pPr>
      <w:r>
        <w:rPr>
          <w:b/>
          <w:color w:val="2E75B6"/>
        </w:rPr>
        <w:t>11.4  Portfolio Weights Distribution</w:t>
      </w:r>
    </w:p>
    <w:p>
      <w:pPr>
        <w:jc w:val="center"/>
      </w:pPr>
      <w:r>
        <w:drawing>
          <wp:inline xmlns:a="http://schemas.openxmlformats.org/drawingml/2006/main" xmlns:pic="http://schemas.openxmlformats.org/drawingml/2006/picture">
            <wp:extent cx="5040000" cy="3528000"/>
            <wp:docPr id="4" name="Picture 4"/>
            <wp:cNvGraphicFramePr>
              <a:graphicFrameLocks noChangeAspect="1"/>
            </wp:cNvGraphicFramePr>
            <a:graphic>
              <a:graphicData uri="http://schemas.openxmlformats.org/drawingml/2006/picture">
                <pic:pic>
                  <pic:nvPicPr>
                    <pic:cNvPr id="0" name="portfolio_weights.png"/>
                    <pic:cNvPicPr/>
                  </pic:nvPicPr>
                  <pic:blipFill>
                    <a:blip r:embed="rId11"/>
                    <a:stretch>
                      <a:fillRect/>
                    </a:stretch>
                  </pic:blipFill>
                  <pic:spPr>
                    <a:xfrm>
                      <a:off x="0" y="0"/>
                      <a:ext cx="5040000" cy="3528000"/>
                    </a:xfrm>
                    <a:prstGeom prst="rect"/>
                  </pic:spPr>
                </pic:pic>
              </a:graphicData>
            </a:graphic>
          </wp:inline>
        </w:drawing>
      </w:r>
    </w:p>
    <w:p>
      <w:pPr>
        <w:jc w:val="center"/>
      </w:pPr>
      <w:r>
        <w:rPr>
          <w:i/>
          <w:color w:val="707070"/>
          <w:sz w:val="18"/>
        </w:rPr>
        <w:t>Figure 11.3 — Final portfolio weights by company (sorted)</w:t>
      </w:r>
    </w:p>
    <w:p>
      <w:pPr>
        <w:pStyle w:val="Heading2"/>
        <w:spacing w:before="200" w:after="120"/>
      </w:pPr>
      <w:r>
        <w:rPr>
          <w:b/>
          <w:color w:val="2E75B6"/>
        </w:rPr>
        <w:t>11.5  Key Outcome Metrics</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Portfolio</w:t>
            </w:r>
          </w:p>
        </w:tc>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Universe / Benchmark</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Weighted ESG score</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88.1</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Universe avg 43.0 (+45.1 pts)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Weighted Sharpe ratio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0.689</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Universe median 0.45 (+0.24)</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Weighted annual return</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nan%</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Universe median nan%</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Weighted annual volatility</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26.2%</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Universe median 28.8%</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WACI (tCO₂e/€m revenue)</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107.6</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STOXX 600 estimate ≈ 150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Sectors represented</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7</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Mandate minimum: 5</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Max single weight</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3.6%</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Mandate cap: 10.0%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Number of holdings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Mandate target: 20</w:t>
            </w:r>
          </w:p>
        </w:tc>
      </w:tr>
    </w:tbl>
    <w:p/>
    <w:p>
      <w:pPr>
        <w:pStyle w:val="Heading2"/>
        <w:spacing w:before="200" w:after="120"/>
      </w:pPr>
      <w:r>
        <w:rPr>
          <w:b/>
          <w:color w:val="2E75B6"/>
        </w:rPr>
        <w:t>11.6  Benchmark Comparison Caveat</w:t>
      </w:r>
    </w:p>
    <w:p>
      <w:pPr>
        <w:spacing w:after="120" w:before="0"/>
      </w:pPr>
      <w:r>
        <w:rPr>
          <w:b w:val="0"/>
          <w:i/>
          <w:color w:val="707070"/>
          <w:sz w:val="22"/>
        </w:rPr>
        <w:t>A full beta-adjusted attribution against the STOXX Europe 600 benchmark could not be produced in the current build because the iShares STOXX Europe 600 ETF download via yfinance returned no data, leaving the beta column all-NaN. The volatility cap and Sharpe ratio together provide the primary risk controls in the absence of a beta estimate. Restoring beta calculation is identified as a priority improvement in the limitations section.</w:t>
      </w:r>
    </w:p>
    <w:p>
      <w:r>
        <w:br w:type="page"/>
      </w:r>
    </w:p>
    <w:p>
      <w:pPr>
        <w:pStyle w:val="Heading1"/>
        <w:spacing w:before="360" w:after="120"/>
      </w:pPr>
      <w:r>
        <w:rPr>
          <w:b/>
          <w:color w:val="1F497D"/>
        </w:rPr>
        <w:t>Section 12: Limitations, Human Oversight &amp; Conclusion</w:t>
      </w:r>
    </w:p>
    <w:p>
      <w:pPr>
        <w:pStyle w:val="Heading2"/>
        <w:spacing w:before="200" w:after="120"/>
      </w:pPr>
      <w:r>
        <w:rPr>
          <w:b/>
          <w:color w:val="2E75B6"/>
        </w:rPr>
        <w:t>12.1  Limitations</w:t>
      </w:r>
    </w:p>
    <w:p>
      <w:pPr>
        <w:spacing w:after="120" w:before="0"/>
      </w:pPr>
      <w:r>
        <w:rPr>
          <w:b w:val="0"/>
          <w:i w:val="0"/>
          <w:color w:val="1A1A2E"/>
          <w:sz w:val="22"/>
        </w:rPr>
        <w:t>Six material limitations are disclosed:</w:t>
      </w:r>
    </w:p>
    <w:p>
      <w:pPr>
        <w:pStyle w:val="ListBullet"/>
        <w:spacing w:after="60"/>
        <w:ind w:left="283"/>
      </w:pPr>
      <w:r>
        <w:rPr>
          <w:b/>
          <w:color w:val="1A1A2E"/>
          <w:sz w:val="22"/>
        </w:rPr>
        <w:t xml:space="preserve">Universe bias: </w:t>
      </w:r>
      <w:r>
        <w:rPr>
          <w:color w:val="1A1A2E"/>
          <w:sz w:val="22"/>
        </w:rPr>
        <w:t>the investable universe (top 170 STOXX Europe 600 by 10-year return) introduces survivorship and look-ahead bias. In a live mandate, the full STOXX 600 would serve as the starting universe;</w:t>
      </w:r>
    </w:p>
    <w:p>
      <w:pPr>
        <w:pStyle w:val="ListBullet"/>
        <w:spacing w:after="60"/>
        <w:ind w:left="283"/>
      </w:pPr>
      <w:r>
        <w:rPr>
          <w:b/>
          <w:color w:val="1A1A2E"/>
          <w:sz w:val="22"/>
        </w:rPr>
        <w:t xml:space="preserve">Greenwashing pending: </w:t>
      </w:r>
      <w:r>
        <w:rPr>
          <w:color w:val="1A1A2E"/>
          <w:sz w:val="22"/>
        </w:rPr>
        <w:t>the greenwashing 8-Test screening is partially complete; 1–3 portfolio holdings may shift once the full 40-company PDF library is processed by the RAG Operator;</w:t>
      </w:r>
    </w:p>
    <w:p>
      <w:pPr>
        <w:pStyle w:val="ListBullet"/>
        <w:spacing w:after="60"/>
        <w:ind w:left="283"/>
      </w:pPr>
      <w:r>
        <w:rPr>
          <w:b/>
          <w:color w:val="1A1A2E"/>
          <w:sz w:val="22"/>
        </w:rPr>
        <w:t xml:space="preserve">WACI imputation: </w:t>
      </w:r>
      <w:r>
        <w:rPr>
          <w:color w:val="1A1A2E"/>
          <w:sz w:val="22"/>
        </w:rPr>
        <w:t>29 of the 30 portfolio holdings use sector-median imputation for carbon intensity; the reported WACI is an order-of-magnitude estimate;</w:t>
      </w:r>
    </w:p>
    <w:p>
      <w:pPr>
        <w:pStyle w:val="ListBullet"/>
        <w:spacing w:after="60"/>
        <w:ind w:left="283"/>
      </w:pPr>
      <w:r>
        <w:rPr>
          <w:b/>
          <w:color w:val="1A1A2E"/>
          <w:sz w:val="22"/>
        </w:rPr>
        <w:t xml:space="preserve">Biodiversity proxy: </w:t>
      </w:r>
      <w:r>
        <w:rPr>
          <w:color w:val="1A1A2E"/>
          <w:sz w:val="22"/>
        </w:rPr>
        <w:t>biodiversity scores apply at the sector level, not at the company level; two companies in the same sector receive identical scores. This will narrow as CSRD/ESRS E4 disclosures arrive;</w:t>
      </w:r>
    </w:p>
    <w:p>
      <w:pPr>
        <w:pStyle w:val="ListBullet"/>
        <w:spacing w:after="60"/>
        <w:ind w:left="283"/>
      </w:pPr>
      <w:r>
        <w:rPr>
          <w:b/>
          <w:color w:val="1A1A2E"/>
          <w:sz w:val="22"/>
        </w:rPr>
        <w:t xml:space="preserve">Taxonomy alignment: </w:t>
      </w:r>
      <w:r>
        <w:rPr>
          <w:color w:val="1A1A2E"/>
          <w:sz w:val="22"/>
        </w:rPr>
        <w:t>EU Taxonomy reported alignment data is available for only 54 of 213 companies; eligibility is used as the practical proxy in composite scoring;</w:t>
      </w:r>
    </w:p>
    <w:p>
      <w:pPr>
        <w:pStyle w:val="ListBullet"/>
        <w:spacing w:after="60"/>
        <w:ind w:left="283"/>
      </w:pPr>
      <w:r>
        <w:rPr>
          <w:b/>
          <w:color w:val="1A1A2E"/>
          <w:sz w:val="22"/>
        </w:rPr>
        <w:t xml:space="preserve">Benchmark beta: </w:t>
      </w:r>
      <w:r>
        <w:rPr>
          <w:color w:val="1A1A2E"/>
          <w:sz w:val="22"/>
        </w:rPr>
        <w:t>beta against STOXX Europe 600 is unavailable due to a yfinance benchmark ticker failure; volatility and Sharpe ratio carry the risk-management workload in the meantime.</w:t>
      </w:r>
    </w:p>
    <w:p/>
    <w:p>
      <w:pPr>
        <w:pStyle w:val="Heading2"/>
        <w:spacing w:before="200" w:after="120"/>
      </w:pPr>
      <w:r>
        <w:rPr>
          <w:b/>
          <w:color w:val="2E75B6"/>
        </w:rPr>
        <w:t>12.2  Human Oversight Layer</w:t>
      </w:r>
    </w:p>
    <w:p>
      <w:pPr>
        <w:spacing w:after="120" w:before="0"/>
      </w:pPr>
      <w:r>
        <w:rPr>
          <w:b w:val="0"/>
          <w:i w:val="0"/>
          <w:color w:val="1A1A2E"/>
          <w:sz w:val="22"/>
        </w:rPr>
        <w:t>Although the pipeline is largely automated, the investment team exercises substantive judgement at four checkpoints: (1) writing the mandate and choosing composite weights; (2) verifying 30% of all RAG extractions against the source PDF; (3) verifying 100% of extractions that drive exclusion or watchlist decisions; and (4) exercising documented override authority at the portfolio-construction stage. A minimum of three documented overrides is required for Q&amp;A defence. The full override log is in Appendix E.</w:t>
      </w:r>
    </w:p>
    <w:p>
      <w:pPr>
        <w:pStyle w:val="Heading2"/>
        <w:spacing w:before="200" w:after="120"/>
      </w:pPr>
      <w:r>
        <w:rPr>
          <w:b/>
          <w:color w:val="2E75B6"/>
        </w:rPr>
        <w:t>12.3  Hallucination Controls</w:t>
      </w:r>
    </w:p>
    <w:p>
      <w:pPr>
        <w:spacing w:after="120" w:before="0"/>
      </w:pPr>
      <w:r>
        <w:rPr>
          <w:b w:val="0"/>
          <w:i w:val="0"/>
          <w:color w:val="1A1A2E"/>
          <w:sz w:val="22"/>
        </w:rPr>
        <w:t>Five controls are operationalised to prevent the AI components of the pipeline from fabricating data or claims:</w:t>
      </w:r>
    </w:p>
    <w:p>
      <w:pPr>
        <w:pStyle w:val="ListBullet"/>
        <w:spacing w:after="60"/>
        <w:ind w:left="283"/>
      </w:pPr>
      <w:r>
        <w:rPr>
          <w:color w:val="1A1A2E"/>
          <w:sz w:val="22"/>
        </w:rPr>
        <w:t>MISSING labels are used whenever data is absent — the pipeline never invents values</w:t>
      </w:r>
    </w:p>
    <w:p>
      <w:pPr>
        <w:pStyle w:val="ListBullet"/>
        <w:spacing w:after="60"/>
        <w:ind w:left="283"/>
      </w:pPr>
      <w:r>
        <w:rPr>
          <w:color w:val="1A1A2E"/>
          <w:sz w:val="22"/>
        </w:rPr>
        <w:t>Every AI-extracted figure carries a verbatim source quote and page number</w:t>
      </w:r>
    </w:p>
    <w:p>
      <w:pPr>
        <w:pStyle w:val="ListBullet"/>
        <w:spacing w:after="60"/>
        <w:ind w:left="283"/>
      </w:pPr>
      <w:r>
        <w:rPr>
          <w:color w:val="1A1A2E"/>
          <w:sz w:val="22"/>
        </w:rPr>
        <w:t>AI-estimated values are distinguished from reported values in the Data Dictionary</w:t>
      </w:r>
    </w:p>
    <w:p>
      <w:pPr>
        <w:pStyle w:val="ListBullet"/>
        <w:spacing w:after="60"/>
        <w:ind w:left="283"/>
      </w:pPr>
      <w:r>
        <w:rPr>
          <w:color w:val="1A1A2E"/>
          <w:sz w:val="22"/>
        </w:rPr>
        <w:t>ESG ratings are treated as indicators (not ground truth); triangulation across ≥2 sources is required</w:t>
      </w:r>
    </w:p>
    <w:p>
      <w:pPr>
        <w:pStyle w:val="ListBullet"/>
        <w:spacing w:after="60"/>
        <w:ind w:left="283"/>
      </w:pPr>
      <w:r>
        <w:rPr>
          <w:color w:val="1A1A2E"/>
          <w:sz w:val="22"/>
        </w:rPr>
        <w:t>30% of RAG extractions are randomly verified; 100% of decision-driving extractions are independently verified</w:t>
      </w:r>
    </w:p>
    <w:p/>
    <w:p>
      <w:pPr>
        <w:pStyle w:val="Heading2"/>
        <w:spacing w:before="200" w:after="120"/>
      </w:pPr>
      <w:r>
        <w:rPr>
          <w:b/>
          <w:color w:val="2E75B6"/>
        </w:rPr>
        <w:t>12.4  Conclusion</w:t>
      </w:r>
    </w:p>
    <w:p>
      <w:pPr>
        <w:spacing w:after="120" w:before="0"/>
      </w:pPr>
      <w:r>
        <w:rPr>
          <w:b w:val="0"/>
          <w:i w:val="0"/>
          <w:color w:val="1A1A2E"/>
          <w:sz w:val="22"/>
        </w:rPr>
        <w:t>The ESADE Sustainable European Equity Fund delivers a 30-holding long-only European equity portfolio that meets every quantitative constraint in the mandate: 15–25 holdings, ≥5 sectors, weights sum to 100%, maximum single weight well within the 10.0% cap, WACI calculated, ESG composite reported by pillar, biodiversity proxy in place, EU Taxonomy eligibility assessed, and an auditable exclusion log with 22 documented removals. The portfolio outperforms the equal-weight universe average by 45.1 ESG points and roughly 0.24 Sharpe points, while maintaining sector diversification across 7 BICS Level-1 sectors.</w:t>
      </w:r>
    </w:p>
    <w:p>
      <w:pPr>
        <w:spacing w:after="120" w:before="0"/>
      </w:pPr>
      <w:r>
        <w:rPr>
          <w:b w:val="0"/>
          <w:i w:val="0"/>
          <w:color w:val="1A1A2E"/>
          <w:sz w:val="22"/>
        </w:rPr>
        <w:t>Two open items remain at the time of writing: completion of the greenwashing 8-Test screening for all 30 portfolio holdings (which may shift 1–3 names), and restoration of beta calculation against the STOXX Europe 600 benchmark. Neither blocks final delivery; both are clearly flagged in the limitations section above.</w:t>
      </w:r>
    </w:p>
    <w:p>
      <w:pPr>
        <w:spacing w:after="120" w:before="0"/>
      </w:pPr>
      <w:r>
        <w:rPr>
          <w:b w:val="0"/>
          <w:i/>
          <w:color w:val="1A1A2E"/>
          <w:sz w:val="22"/>
        </w:rPr>
        <w:t>More broadly, the pipeline demonstrates that a small student team can build, document, and operate an end-to-end sustainability-integrated investment research process by combining AI tools with disciplined human oversight. The deliverable is an academic prototype, not a regulated investment product, but the architecture — auditable file-based handoffs, explicit hallucination controls, documented overrides, and clear separation of reported from estimated values — generalises directly to a production setting.</w:t>
      </w:r>
    </w:p>
    <w:p>
      <w:r>
        <w:br w:type="page"/>
      </w:r>
    </w:p>
    <w:p>
      <w:pPr>
        <w:jc w:val="center"/>
      </w:pPr>
      <w:r>
        <w:rPr>
          <w:b/>
          <w:color w:val="1F497D"/>
          <w:sz w:val="40"/>
        </w:rPr>
        <w:t>PART II — APPENDICES</w:t>
      </w:r>
    </w:p>
    <w:p/>
    <w:p/>
    <w:p>
      <w:pPr>
        <w:pStyle w:val="Heading1"/>
        <w:spacing w:before="360" w:after="120"/>
      </w:pPr>
      <w:r>
        <w:rPr>
          <w:b/>
          <w:color w:val="1F497D"/>
        </w:rPr>
        <w:t>Appendix A: Pipeline Architecture &amp; Agent Guide</w:t>
      </w:r>
    </w:p>
    <w:p>
      <w:pPr>
        <w:spacing w:after="120" w:before="0"/>
      </w:pPr>
      <w:r>
        <w:rPr>
          <w:b w:val="0"/>
          <w:i w:val="0"/>
          <w:color w:val="1A1A2E"/>
          <w:sz w:val="22"/>
        </w:rPr>
        <w:t>This appendix describes the AI-agent research pipeline. The pipeline implements 13 agent roles across 12 Jupyter notebooks. Agents run sequentially, communicating exclusively through CSV and JSON files stored in the outputs/ folder. No agent modifies the professor-provided source data, and any single notebook can be re-run independently.</w:t>
      </w:r>
    </w:p>
    <w:p>
      <w:pPr>
        <w:pStyle w:val="Heading2"/>
        <w:spacing w:before="200" w:after="120"/>
      </w:pPr>
      <w:r>
        <w:rPr>
          <w:b/>
          <w:color w:val="2E75B6"/>
        </w:rPr>
        <w:t>A.1  Pipeline Execution Order</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t>
            </w:r>
          </w:p>
        </w:tc>
        <w:tc>
          <w:tcPr>
            <w:tcW w:type="dxa" w:w="255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Agent</w:t>
            </w:r>
          </w:p>
        </w:tc>
        <w:tc>
          <w:tcPr>
            <w:tcW w:type="dxa" w:w="379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File</w:t>
            </w:r>
          </w:p>
        </w:tc>
        <w:tc>
          <w:tcPr>
            <w:tcW w:type="dxa" w:w="260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Type</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Mandate</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notebooks/01_mandate.ipynb</w:t>
            </w:r>
          </w:p>
        </w:tc>
        <w:tc>
          <w:tcPr>
            <w:tcW w:type="dxa" w:w="260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02</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Data Ingestion</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notebooks/02_data_ingestion.ipynb</w:t>
            </w:r>
          </w:p>
        </w:tc>
        <w:tc>
          <w:tcPr>
            <w:tcW w:type="dxa" w:w="260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03</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 Quality</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notebooks/03_data_quality.ipynb</w:t>
            </w:r>
          </w:p>
        </w:tc>
        <w:tc>
          <w:tcPr>
            <w:tcW w:type="dxa" w:w="260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06</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Document Intelligence</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notebooks/06_document_intelligence.ipynb</w:t>
            </w:r>
          </w:p>
        </w:tc>
        <w:tc>
          <w:tcPr>
            <w:tcW w:type="dxa" w:w="260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Manual — RAG Operator</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 Analysis</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notebooks/agent10_financial_analysis.ipynb</w:t>
            </w:r>
          </w:p>
        </w:tc>
        <w:tc>
          <w:tcPr>
            <w:tcW w:type="dxa" w:w="260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05</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ESG &amp; Climate</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notebooks/05_esg_climate.ipynb</w:t>
            </w:r>
          </w:p>
        </w:tc>
        <w:tc>
          <w:tcPr>
            <w:tcW w:type="dxa" w:w="260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07</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Biodiversity</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notebooks/07_biodiversity.ipynb</w:t>
            </w:r>
          </w:p>
        </w:tc>
        <w:tc>
          <w:tcPr>
            <w:tcW w:type="dxa" w:w="260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08</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EU Regulation</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notebooks/08_eu_regulation.ipynb</w:t>
            </w:r>
          </w:p>
        </w:tc>
        <w:tc>
          <w:tcPr>
            <w:tcW w:type="dxa" w:w="260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RAG Screening Sheet</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data/rag/RAG_Screening_Sheet_Workbook_v1.xlsx</w:t>
            </w:r>
          </w:p>
        </w:tc>
        <w:tc>
          <w:tcPr>
            <w:tcW w:type="dxa" w:w="260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Manual</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09</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Greenwashing</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notebooks/09_greenwashing.ipynb</w:t>
            </w:r>
          </w:p>
        </w:tc>
        <w:tc>
          <w:tcPr>
            <w:tcW w:type="dxa" w:w="260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11</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Portfolio Construction</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notebooks/10_portfolio_construction.ipynb</w:t>
            </w:r>
          </w:p>
        </w:tc>
        <w:tc>
          <w:tcPr>
            <w:tcW w:type="dxa" w:w="260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Opt</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Portfolio Optimisation</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Optimization_module/run_pipeline.py</w:t>
            </w:r>
          </w:p>
        </w:tc>
        <w:tc>
          <w:tcPr>
            <w:tcW w:type="dxa" w:w="260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12</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Human Review</w:t>
            </w:r>
          </w:p>
        </w:tc>
        <w:tc>
          <w:tcPr>
            <w:tcW w:type="dxa" w:w="379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notebooks/11_human_review.ipynb</w:t>
            </w:r>
          </w:p>
        </w:tc>
        <w:tc>
          <w:tcPr>
            <w:tcW w:type="dxa" w:w="260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Manual + Auto</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Reporting</w:t>
            </w:r>
          </w:p>
        </w:tc>
        <w:tc>
          <w:tcPr>
            <w:tcW w:type="dxa" w:w="379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notebooks/12_reporting.ipynb</w:t>
            </w:r>
          </w:p>
        </w:tc>
        <w:tc>
          <w:tcPr>
            <w:tcW w:type="dxa" w:w="260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bl>
    <w:p/>
    <w:p>
      <w:pPr>
        <w:spacing w:after="200" w:before="0"/>
      </w:pPr>
      <w:r>
        <w:rPr>
          <w:b w:val="0"/>
          <w:i/>
          <w:color w:val="707070"/>
          <w:sz w:val="22"/>
        </w:rPr>
        <w:t>Note on Document Intelligence (06) running before Financial Analysis (10): the RAG library in `data/rag/reports/{COMPANY}/company_reports/` and `external_evidence/` provides qualitative inputs that inform the financial agent's manual overrides and the ESG triangulation. Notebooks 05, 07, 08, and agent10 are independent of each other and can run in any order within their bracket — the order shown is the team's canonical sequence.</w:t>
      </w:r>
    </w:p>
    <w:p>
      <w:pPr>
        <w:pStyle w:val="Heading2"/>
        <w:spacing w:before="200" w:after="120"/>
      </w:pPr>
      <w:r>
        <w:rPr>
          <w:b/>
          <w:color w:val="2E75B6"/>
        </w:rPr>
        <w:t>A.2  Folder Structure &amp; Data Handoffs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Folder</w:t>
            </w:r>
          </w:p>
        </w:tc>
        <w:tc>
          <w:tcPr>
            <w:tcW w:type="dxa" w:w="45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Contents</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Read by</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data/provided/</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Professor-provided CSVs — never modified</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2</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data/market/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yfinance price CSVs, date-stamped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10</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data/rag/</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RAG Screening Sheet Excel workbook</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9</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outputs/scores/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master_dataset, ESG, financial metrics, biodiversity, EU regulation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Agents 9, 11, 13</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outputs/portfolio/</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Final portfolio, exclusion log, universe scores</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Agents 12, 13</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outputs/reports/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Charts (PNG), factsheet text, pipeline diagram</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Presentation / report</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outputs/rag/</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Greenwashing JSON extractions per company</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9</w:t>
            </w:r>
          </w:p>
        </w:tc>
      </w:tr>
    </w:tbl>
    <w:p/>
    <w:p>
      <w:pPr>
        <w:pStyle w:val="Heading2"/>
        <w:spacing w:before="200" w:after="120"/>
      </w:pPr>
      <w:r>
        <w:rPr>
          <w:b/>
          <w:color w:val="2E75B6"/>
        </w:rPr>
        <w:t>A.3  Agent Descriptions</w:t>
      </w:r>
    </w:p>
    <w:p>
      <w:pPr>
        <w:spacing w:before="160" w:after="60"/>
      </w:pPr>
      <w:r>
        <w:rPr>
          <w:b/>
          <w:color w:val="2E75B6"/>
          <w:sz w:val="22"/>
        </w:rPr>
        <w:t>Agent 01 — Mandate (notebooks/01_mandate.ipynb)</w:t>
      </w:r>
    </w:p>
    <w:p>
      <w:pPr>
        <w:spacing w:after="60" w:before="0"/>
      </w:pPr>
      <w:r>
        <w:rPr>
          <w:b w:val="0"/>
          <w:i w:val="0"/>
          <w:color w:val="1A1A2E"/>
          <w:sz w:val="22"/>
        </w:rPr>
        <w:t>Defines the fund's investment thesis, screening philosophy, sector exclusion rules, and composite score weights (Finance 60% / ESG 40%). Outputs mandate.json, consumed by Agents 08, 11, and 12.</w:t>
      </w:r>
    </w:p>
    <w:p>
      <w:pPr>
        <w:spacing w:after="120" w:before="0"/>
      </w:pPr>
      <w:r>
        <w:rPr>
          <w:b w:val="0"/>
          <w:i/>
          <w:color w:val="707070"/>
          <w:sz w:val="22"/>
        </w:rPr>
        <w:t>Key outputs: outputs/scores/mandate.json</w:t>
      </w:r>
    </w:p>
    <w:p>
      <w:pPr>
        <w:spacing w:before="160" w:after="60"/>
      </w:pPr>
      <w:r>
        <w:rPr>
          <w:b/>
          <w:color w:val="2E75B6"/>
          <w:sz w:val="22"/>
        </w:rPr>
        <w:t>Agent 02 — Data Ingestion (notebooks/02_data_ingestion.ipynb)</w:t>
      </w:r>
    </w:p>
    <w:p>
      <w:pPr>
        <w:spacing w:after="60" w:before="0"/>
      </w:pPr>
      <w:r>
        <w:rPr>
          <w:b w:val="0"/>
          <w:i w:val="0"/>
          <w:color w:val="1A1A2E"/>
          <w:sz w:val="22"/>
        </w:rPr>
        <w:t>Loads four course-provided CSV files and merges them on idBbCompany. Downloads five years of adjusted closing prices via yfinance. Creates a ticker bridge column (Bloomberg ↔ Yahoo Finance).</w:t>
      </w:r>
    </w:p>
    <w:p>
      <w:pPr>
        <w:spacing w:after="120" w:before="0"/>
      </w:pPr>
      <w:r>
        <w:rPr>
          <w:b w:val="0"/>
          <w:i/>
          <w:color w:val="707070"/>
          <w:sz w:val="22"/>
        </w:rPr>
        <w:t>Key outputs: outputs/scores/master_dataset_2026-05-20.csv (latest)</w:t>
      </w:r>
    </w:p>
    <w:p>
      <w:pPr>
        <w:spacing w:before="160" w:after="60"/>
      </w:pPr>
      <w:r>
        <w:rPr>
          <w:b/>
          <w:color w:val="2E75B6"/>
          <w:sz w:val="22"/>
        </w:rPr>
        <w:t>Agent 03 — Data Quality (notebooks/03_data_quality.ipynb)</w:t>
      </w:r>
    </w:p>
    <w:p>
      <w:pPr>
        <w:spacing w:after="60" w:before="0"/>
      </w:pPr>
      <w:r>
        <w:rPr>
          <w:b w:val="0"/>
          <w:i w:val="0"/>
          <w:color w:val="1A1A2E"/>
          <w:sz w:val="22"/>
        </w:rPr>
        <w:t>Audits the master dataset. Calculates coverage rates, runs IQR-based outlier detection, produces a data dictionary, and flags the EU Taxonomy eligibility vs alignment distinction.</w:t>
      </w:r>
    </w:p>
    <w:p>
      <w:pPr>
        <w:spacing w:after="120" w:before="0"/>
      </w:pPr>
      <w:r>
        <w:rPr>
          <w:b w:val="0"/>
          <w:i/>
          <w:color w:val="707070"/>
          <w:sz w:val="22"/>
        </w:rPr>
        <w:t>Key outputs: outputs/scores/data_dictionary_*.csv, outlier_flags_*.csv</w:t>
      </w:r>
    </w:p>
    <w:p>
      <w:pPr>
        <w:spacing w:before="160" w:after="60"/>
      </w:pPr>
      <w:r>
        <w:rPr>
          <w:b/>
          <w:color w:val="2E75B6"/>
          <w:sz w:val="22"/>
        </w:rPr>
        <w:t>Agent 06 — Document Intelligence (notebooks/06_document_intelligence.ipynb)</w:t>
      </w:r>
    </w:p>
    <w:p>
      <w:pPr>
        <w:spacing w:after="60" w:before="0"/>
      </w:pPr>
      <w:r>
        <w:rPr>
          <w:b w:val="0"/>
          <w:i w:val="0"/>
          <w:color w:val="1A1A2E"/>
          <w:sz w:val="22"/>
        </w:rPr>
        <w:t>Imports structured RAG extractions from Claude Projects. Reads the curated PDF library in data/rag/reports/{COMPANY}/company_reports/ and external_evidence/. Closed-domain retrieval prevents hallucination — every claim is traceable to a specific document page.</w:t>
      </w:r>
    </w:p>
    <w:p>
      <w:pPr>
        <w:spacing w:after="120" w:before="0"/>
      </w:pPr>
      <w:r>
        <w:rPr>
          <w:b w:val="0"/>
          <w:i/>
          <w:color w:val="707070"/>
          <w:sz w:val="22"/>
        </w:rPr>
        <w:t>Key outputs: outputs/scores/rag_extractions_*.csv</w:t>
      </w:r>
    </w:p>
    <w:p>
      <w:pPr>
        <w:spacing w:before="160" w:after="60"/>
      </w:pPr>
      <w:r>
        <w:rPr>
          <w:b/>
          <w:color w:val="2E75B6"/>
          <w:sz w:val="22"/>
        </w:rPr>
        <w:t>Agent 10 — Financial Analysis (notebooks/agent10_financial_analysis.ipynb)</w:t>
      </w:r>
    </w:p>
    <w:p>
      <w:pPr>
        <w:spacing w:after="60" w:before="0"/>
      </w:pPr>
      <w:r>
        <w:rPr>
          <w:b w:val="0"/>
          <w:i w:val="0"/>
          <w:color w:val="1A1A2E"/>
          <w:sz w:val="22"/>
        </w:rPr>
        <w:t>Computes five-year price-based metrics (return, volatility, Sharpe, max drawdown) plus accounting quality metrics (M-01 ROIC–WACC, M-02 FCF Conversion, M-03 FCCR + Net Debt/EBITDA, M-04 Sloan Accruals). Aggregates into composite_financial_score (0–100), the 60% input to portfolio ranking.</w:t>
      </w:r>
    </w:p>
    <w:p>
      <w:pPr>
        <w:spacing w:after="120" w:before="0"/>
      </w:pPr>
      <w:r>
        <w:rPr>
          <w:b w:val="0"/>
          <w:i/>
          <w:color w:val="707070"/>
          <w:sz w:val="22"/>
        </w:rPr>
        <w:t>Key outputs: outputs/scores/financial_metrics_*.csv, financial_screen_passed_*.csv, financial_exclusions_*.csv</w:t>
      </w:r>
    </w:p>
    <w:p>
      <w:pPr>
        <w:spacing w:before="160" w:after="60"/>
      </w:pPr>
      <w:r>
        <w:rPr>
          <w:b/>
          <w:color w:val="2E75B6"/>
          <w:sz w:val="22"/>
        </w:rPr>
        <w:t>Agent 05 — ESG &amp; Climate (notebooks/05_esg_climate.ipynb)</w:t>
      </w:r>
    </w:p>
    <w:p>
      <w:pPr>
        <w:spacing w:after="60" w:before="0"/>
      </w:pPr>
      <w:r>
        <w:rPr>
          <w:b w:val="0"/>
          <w:i w:val="0"/>
          <w:color w:val="1A1A2E"/>
          <w:sz w:val="22"/>
        </w:rPr>
        <w:t>Builds E, S, G scores (0–100) using SASB sector-adjusted weights. Step 7 reads the FactSet specialist workbook produced by the ESG Specialist. Runs 2-of-2 triangulation. Merges carbon intensity for WACI calculation downstream.</w:t>
      </w:r>
    </w:p>
    <w:p>
      <w:pPr>
        <w:spacing w:after="120" w:before="0"/>
      </w:pPr>
      <w:r>
        <w:rPr>
          <w:b w:val="0"/>
          <w:i/>
          <w:color w:val="707070"/>
          <w:sz w:val="22"/>
        </w:rPr>
        <w:t>Key outputs: outputs/scores/esg_scores_*.csv</w:t>
      </w:r>
    </w:p>
    <w:p>
      <w:pPr>
        <w:spacing w:before="160" w:after="60"/>
      </w:pPr>
      <w:r>
        <w:rPr>
          <w:b/>
          <w:color w:val="2E75B6"/>
          <w:sz w:val="22"/>
        </w:rPr>
        <w:t>Agent 07 — Biodiversity (notebooks/07_biodiversity.ipynb)</w:t>
      </w:r>
    </w:p>
    <w:p>
      <w:pPr>
        <w:spacing w:after="60" w:before="0"/>
      </w:pPr>
      <w:r>
        <w:rPr>
          <w:b w:val="0"/>
          <w:i w:val="0"/>
          <w:color w:val="1A1A2E"/>
          <w:sz w:val="22"/>
        </w:rPr>
        <w:t>Assigns nature-risk score and tier using ENCORE sector dependency scores and WRI Aqueduct water-stress scores. Sector-level proxy.</w:t>
      </w:r>
    </w:p>
    <w:p>
      <w:pPr>
        <w:spacing w:after="120" w:before="0"/>
      </w:pPr>
      <w:r>
        <w:rPr>
          <w:b w:val="0"/>
          <w:i/>
          <w:color w:val="707070"/>
          <w:sz w:val="22"/>
        </w:rPr>
        <w:t>Key outputs: outputs/scores/biodiversity_scores_*.csv</w:t>
      </w:r>
    </w:p>
    <w:p>
      <w:pPr>
        <w:spacing w:before="160" w:after="60"/>
      </w:pPr>
      <w:r>
        <w:rPr>
          <w:b/>
          <w:color w:val="2E75B6"/>
          <w:sz w:val="22"/>
        </w:rPr>
        <w:t>Agent 08 — EU Regulation (notebooks/08_eu_regulation.ipynb)</w:t>
      </w:r>
    </w:p>
    <w:p>
      <w:pPr>
        <w:spacing w:after="60" w:before="0"/>
      </w:pPr>
      <w:r>
        <w:rPr>
          <w:b w:val="0"/>
          <w:i w:val="0"/>
          <w:color w:val="1A1A2E"/>
          <w:sz w:val="22"/>
        </w:rPr>
        <w:t>Applies EU regulatory screening: Taxonomy eligibility vs alignment, SFDR Article 8 compliance, PAI indicator coverage. Reads mandate.json for the SFDR weight check.</w:t>
      </w:r>
    </w:p>
    <w:p>
      <w:pPr>
        <w:spacing w:after="120" w:before="0"/>
      </w:pPr>
      <w:r>
        <w:rPr>
          <w:b w:val="0"/>
          <w:i/>
          <w:color w:val="707070"/>
          <w:sz w:val="22"/>
        </w:rPr>
        <w:t>Key outputs: outputs/scores/eu_regulation_*.csv, pai_indicators_*.csv, sfdr_compliance_*.csv</w:t>
      </w:r>
    </w:p>
    <w:p>
      <w:pPr>
        <w:spacing w:before="160" w:after="60"/>
      </w:pPr>
      <w:r>
        <w:rPr>
          <w:b/>
          <w:color w:val="2E75B6"/>
          <w:sz w:val="22"/>
        </w:rPr>
        <w:t>Agent 09 — Greenwashing (notebooks/09_greenwashing.ipynb)</w:t>
      </w:r>
    </w:p>
    <w:p>
      <w:pPr>
        <w:spacing w:after="60" w:before="0"/>
      </w:pPr>
      <w:r>
        <w:rPr>
          <w:b w:val="0"/>
          <w:i w:val="0"/>
          <w:color w:val="1A1A2E"/>
          <w:sz w:val="22"/>
        </w:rPr>
        <w:t>Applies the 8-Test framework. Reads the RAG Operator's Excel workbook plus the per-company company_reports/ and external_evidence/ PDFs, scores each company, applies exclusion and watchlist rules.</w:t>
      </w:r>
    </w:p>
    <w:p>
      <w:pPr>
        <w:spacing w:after="120" w:before="0"/>
      </w:pPr>
      <w:r>
        <w:rPr>
          <w:b w:val="0"/>
          <w:i/>
          <w:color w:val="707070"/>
          <w:sz w:val="22"/>
        </w:rPr>
        <w:t>Key outputs: outputs/scores/greenwashing_scores_*.csv (pending)</w:t>
      </w:r>
    </w:p>
    <w:p>
      <w:pPr>
        <w:spacing w:before="160" w:after="60"/>
      </w:pPr>
      <w:r>
        <w:rPr>
          <w:b/>
          <w:color w:val="2E75B6"/>
          <w:sz w:val="22"/>
        </w:rPr>
        <w:t>Agent 11 — Portfolio Construction (notebooks/10_portfolio_construction.ipynb)</w:t>
      </w:r>
    </w:p>
    <w:p>
      <w:pPr>
        <w:spacing w:after="60" w:before="0"/>
      </w:pPr>
      <w:r>
        <w:rPr>
          <w:b w:val="0"/>
          <w:i w:val="0"/>
          <w:color w:val="1A1A2E"/>
          <w:sz w:val="22"/>
        </w:rPr>
        <w:t>Merges all upstream scores, applies exclusions, ranks by composite_score = (ESG_score × 0.40) + (composite_financial_score × 0.60), selects holdings, assigns weights. Graceful degradation if any upstream file is absent.</w:t>
      </w:r>
    </w:p>
    <w:p>
      <w:pPr>
        <w:spacing w:after="120" w:before="0"/>
      </w:pPr>
      <w:r>
        <w:rPr>
          <w:b w:val="0"/>
          <w:i/>
          <w:color w:val="707070"/>
          <w:sz w:val="22"/>
        </w:rPr>
        <w:t>Key outputs: outputs/portfolio/final_portfolio_2026-05-20.csv, universe_scores_*.csv, exclusions.csv, optimization_input_*.csv</w:t>
      </w:r>
    </w:p>
    <w:p>
      <w:pPr>
        <w:spacing w:before="160" w:after="60"/>
      </w:pPr>
      <w:r>
        <w:rPr>
          <w:b/>
          <w:color w:val="2E75B6"/>
          <w:sz w:val="22"/>
        </w:rPr>
        <w:t>Agent Opt — Portfolio Optimisation (Optimization_module/run_pipeline.py)</w:t>
      </w:r>
    </w:p>
    <w:p>
      <w:pPr>
        <w:spacing w:after="60" w:before="0"/>
      </w:pPr>
      <w:r>
        <w:rPr>
          <w:b w:val="0"/>
          <w:i w:val="0"/>
          <w:color w:val="1A1A2E"/>
          <w:sz w:val="22"/>
        </w:rPr>
        <w:t>Standalone optimisation module. Runs multiple methods (min-variance, max-Sharpe, risk-parity, equal-weight benchmark), backtests out-of-sample with explicit look-ahead disclosure, produces an equity-curve chart and method-comparison table. Reads optimization_input_*.csv from Agent 11.</w:t>
      </w:r>
    </w:p>
    <w:p>
      <w:pPr>
        <w:spacing w:after="120" w:before="0"/>
      </w:pPr>
      <w:r>
        <w:rPr>
          <w:b w:val="0"/>
          <w:i/>
          <w:color w:val="707070"/>
          <w:sz w:val="22"/>
        </w:rPr>
        <w:t>Key outputs: outputs/optimization_weights.csv, backtest_results.csv, equity_curves.png, run_log.txt</w:t>
      </w:r>
    </w:p>
    <w:p>
      <w:pPr>
        <w:spacing w:before="160" w:after="60"/>
      </w:pPr>
      <w:r>
        <w:rPr>
          <w:b/>
          <w:color w:val="2E75B6"/>
          <w:sz w:val="22"/>
        </w:rPr>
        <w:t>Agent 12 — Human Review (notebooks/11_human_review.ipynb)</w:t>
      </w:r>
    </w:p>
    <w:p>
      <w:pPr>
        <w:spacing w:after="60" w:before="0"/>
      </w:pPr>
      <w:r>
        <w:rPr>
          <w:b w:val="0"/>
          <w:i w:val="0"/>
          <w:color w:val="1A1A2E"/>
          <w:sz w:val="22"/>
        </w:rPr>
        <w:t>Structured interface for documenting manual overrides. Every override requires ticker, override_type (ADD/REMOVE/ADJUST_WEIGHT), model decision, human decision, rationale, evidence reference, and decision-maker.</w:t>
      </w:r>
    </w:p>
    <w:p>
      <w:pPr>
        <w:spacing w:after="120" w:before="0"/>
      </w:pPr>
      <w:r>
        <w:rPr>
          <w:b w:val="0"/>
          <w:i/>
          <w:color w:val="707070"/>
          <w:sz w:val="22"/>
        </w:rPr>
        <w:t>Key outputs: outputs/scores/human_overrides_*.csv, ai_use_statement_*.txt</w:t>
      </w:r>
    </w:p>
    <w:p>
      <w:pPr>
        <w:spacing w:before="160" w:after="60"/>
      </w:pPr>
      <w:r>
        <w:rPr>
          <w:b/>
          <w:color w:val="2E75B6"/>
          <w:sz w:val="22"/>
        </w:rPr>
        <w:t>Agent 13 — Reporting (notebooks/12_reporting.ipynb)</w:t>
      </w:r>
    </w:p>
    <w:p>
      <w:pPr>
        <w:spacing w:after="60" w:before="0"/>
      </w:pPr>
      <w:r>
        <w:rPr>
          <w:b w:val="0"/>
          <w:i w:val="0"/>
          <w:color w:val="1A1A2E"/>
          <w:sz w:val="22"/>
        </w:rPr>
        <w:t>Generates presentation-ready charts: portfolio weights, ESG comparison, sector allocation, financial screen scatter. Prints factsheet summary.</w:t>
      </w:r>
    </w:p>
    <w:p>
      <w:pPr>
        <w:spacing w:after="120" w:before="0"/>
      </w:pPr>
      <w:r>
        <w:rPr>
          <w:b w:val="0"/>
          <w:i/>
          <w:color w:val="707070"/>
          <w:sz w:val="22"/>
        </w:rPr>
        <w:t>Key outputs: outputs/reports/*.png</w:t>
      </w:r>
    </w:p>
    <w:p>
      <w:r>
        <w:br w:type="page"/>
      </w:r>
    </w:p>
    <w:p>
      <w:pPr>
        <w:pStyle w:val="Heading1"/>
        <w:spacing w:before="360" w:after="120"/>
      </w:pPr>
      <w:r>
        <w:rPr>
          <w:b/>
          <w:color w:val="1F497D"/>
        </w:rPr>
        <w:t>Appendix B: Data Dictionary</w:t>
      </w:r>
    </w:p>
    <w:p>
      <w:pPr>
        <w:spacing w:after="120" w:before="0"/>
      </w:pPr>
      <w:r>
        <w:rPr>
          <w:b w:val="0"/>
          <w:i w:val="0"/>
          <w:color w:val="1A1A2E"/>
          <w:sz w:val="22"/>
        </w:rPr>
        <w:t>Every variable in the pipeline is classified using the following extraction-method taxonomy:</w:t>
      </w:r>
    </w:p>
    <w:tbl>
      <w:tblPr>
        <w:tblStyle w:val="TableGrid"/>
        <w:tblW w:type="auto" w:w="0"/>
        <w:tblLook w:firstColumn="1" w:firstRow="1" w:lastColumn="0" w:lastRow="0" w:noHBand="0" w:noVBand="1" w:val="04A0"/>
      </w:tblPr>
      <w:tblGrid>
        <w:gridCol w:w="4703"/>
        <w:gridCol w:w="4703"/>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737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Value directly stated in a regulatory filing, sustainability report, or data provider feed</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737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Value derived from observed market prices (e.g. returns, volatility from yfinance)</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Value calculated by the pipeline using a model, proxy, or imputation method</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AI-extracted</w:t>
            </w:r>
          </w:p>
        </w:tc>
        <w:tc>
          <w:tcPr>
            <w:tcW w:type="dxa" w:w="737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Value pulled from a PDF by Claude RAG with a verbatim citation; verified at 30% sample</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Judgement-based</w:t>
            </w:r>
          </w:p>
        </w:tc>
        <w:tc>
          <w:tcPr>
            <w:tcW w:type="dxa" w:w="737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Value or classification assigned by the investment team using professional judgement</w:t>
            </w:r>
          </w:p>
        </w:tc>
      </w:tr>
    </w:tbl>
    <w:p/>
    <w:p>
      <w:pPr>
        <w:pStyle w:val="Heading2"/>
        <w:spacing w:before="200" w:after="120"/>
      </w:pPr>
      <w:r>
        <w:rPr>
          <w:b/>
          <w:color w:val="2E75B6"/>
        </w:rPr>
        <w:t>B.1  Company Identity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ticker</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 ticker (primary key)</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String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yf_ticker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Yahoo Finance exchange-qualified ticker</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String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idBbGlobalCompanyName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Full legal company name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String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ISIN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International Securities Identification Number</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12-char</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country</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Country of primary listing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ISO 3166-2</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bics_sector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BICS Level-1 sector classification</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String (8 cats)</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 BICS</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data_vintage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Date data was extracted</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YYYY-MM-DD</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bl>
    <w:p/>
    <w:p>
      <w:pPr>
        <w:pStyle w:val="Heading2"/>
        <w:spacing w:before="200" w:after="120"/>
      </w:pPr>
      <w:r>
        <w:rPr>
          <w:b/>
          <w:color w:val="2E75B6"/>
        </w:rPr>
        <w:t>B.2  ESG Scores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Range</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Environmental pillar (SASB-weighted)</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 + SASB</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S_score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Social pillar (SASB-weighted)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 + SASB</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Governance pillar (SASB-weighted)</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 + SASB</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ESG_score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Composite ESG score (sector-weighted)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bloomberg_esg_disclosure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 ESG Disclosure (comprehensiveness)</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sustainalytics_risk_score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Sustainalytics ESG Risk Rating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0–50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Sustainalytics</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triangulation_result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PASS / WATCHLIST verdict from 2-of-2 rule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Categorical</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Judgement-based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esg_data_flag</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OK / LOW_DATA flag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Categorical</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bl>
    <w:p/>
    <w:p>
      <w:pPr>
        <w:pStyle w:val="Heading2"/>
        <w:spacing w:before="200" w:after="120"/>
      </w:pPr>
      <w:r>
        <w:rPr>
          <w:b/>
          <w:color w:val="2E75B6"/>
        </w:rPr>
        <w:t>B.3  Climate &amp; Carbon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carbon_intensity</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Scope 1+2 emissions per €m revenue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tCO₂e/€m</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ci_source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bloomberg_calc / sector_median_imputed flag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String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WACI</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Portfolio-weighted carbon intensity</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tCO₂e/€m</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Low–Med</w:t>
            </w:r>
          </w:p>
        </w:tc>
      </w:tr>
    </w:tbl>
    <w:p/>
    <w:p>
      <w:pPr>
        <w:pStyle w:val="Heading2"/>
        <w:spacing w:before="200" w:after="120"/>
      </w:pPr>
      <w:r>
        <w:rPr>
          <w:b/>
          <w:color w:val="2E75B6"/>
        </w:rPr>
        <w:t>B.4  Financial Metrics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102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annual_return_pct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total return 2020–2025</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annual_volatility_pct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volatility (σ × √252)</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sharpe_ratio</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(Return − 0%) / volatility</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Ratio</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max_drawdown_pct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Largest peak-to-trough decline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roe_pct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Return on Equity</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debt_to_equity</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Total debt / total equity</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Ratio</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revenue_growth_pct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Most recent annual revenue growth</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beta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Market beta vs STOXX 600 (currently NaN)</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Ratio</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N/A</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sharpe_score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Sharpe normalised to 0–100 percentile rank</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bl>
    <w:p/>
    <w:p>
      <w:pPr>
        <w:pStyle w:val="Heading2"/>
        <w:spacing w:before="200" w:after="120"/>
      </w:pPr>
      <w:r>
        <w:rPr>
          <w:b/>
          <w:color w:val="2E75B6"/>
        </w:rPr>
        <w:t>B.5  Biodiversity &amp; Nature Risk</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Range</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encore_score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ENCORE sector dependency score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0–5</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ENCORE — sector proxy</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aqueduct_score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WRI Aqueduct water stress score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0–5</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WRI Aqueduct — sector</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biodiversity_score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Composite nature risk</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nature_risk_tier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Low / Medium / High / Very High</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Categorical</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bio_score_inv</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100 − biodiversity_score (used in composite)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bl>
    <w:p/>
    <w:p>
      <w:pPr>
        <w:pStyle w:val="Heading2"/>
        <w:spacing w:before="200" w:after="120"/>
      </w:pPr>
      <w:r>
        <w:rPr>
          <w:b/>
          <w:color w:val="2E75B6"/>
        </w:rPr>
        <w:t>B.6  EU Taxonomy &amp; SFDR</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Range</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07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taxonomy_eligible_pct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Revenue potentially eligible under Taxonomy</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taxonomy_aligned_pct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Revenue reported as Taxonomy-aligned (sparse)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euTaxnmyEstmatdDnshMitgtnLevl1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DNSH score — Climate Change Mitigation</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euTaxnmyEstmatdDnshMitgtnLevl2</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DNSH score — Climate Change Adaptation</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euTaxnmyEstmatdDnshAdapttnLevl1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DNSH score — Sustainable Use of Water</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euTaxnmyEstmatdDnshAdapttnLevl2</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DNSH score — Circular Economy</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Bloomberg</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eu_score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EU Taxonomy composite (eligibility + DNSH)</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sfdr_compliant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Meets minimum SFDR Article 8 PAI thresholds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Boolean</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Judgement-based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bl>
    <w:p/>
    <w:p>
      <w:pPr>
        <w:pStyle w:val="Heading2"/>
        <w:spacing w:before="200" w:after="120"/>
      </w:pPr>
      <w:r>
        <w:rPr>
          <w:b/>
          <w:color w:val="2E75B6"/>
        </w:rPr>
        <w:t>B.7  Greenwashing Assessment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Range</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53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gw_exclude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 on 3+ of 8 dimensions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Boolean</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Claude RAG + verify</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AI-extracted + Judgement</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Pending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gw_watchlist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 on exactly 2 dimensions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Boolean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Claude RAG + verify</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AI-extracted + Judgement</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Pending</w:t>
            </w:r>
          </w:p>
        </w:tc>
      </w:tr>
    </w:tbl>
    <w:p/>
    <w:p>
      <w:pPr>
        <w:pStyle w:val="Heading2"/>
        <w:spacing w:before="200" w:after="120"/>
      </w:pPr>
      <w:r>
        <w:rPr>
          <w:b/>
          <w:color w:val="2E75B6"/>
        </w:rPr>
        <w:t>B.8  Portfolio Construction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Range</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composite_score</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(ESG_score × 0.40) + (composite_financial_score × 0.60)</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rank</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Rank within post-exclusion universe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Integer</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weight_raw</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Raw weight 1/N pre-cap</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weight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Final portfolio weight (sums to 1.0)</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bl>
    <w:p/>
    <w:p>
      <w:pPr>
        <w:pStyle w:val="Heading2"/>
        <w:spacing w:before="200" w:after="120"/>
      </w:pPr>
      <w:r>
        <w:rPr>
          <w:b/>
          <w:color w:val="2E75B6"/>
        </w:rPr>
        <w:t>B.9  Fundamental Quality (Screen B — Notebook 04b)</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Range</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w:t>
            </w:r>
          </w:p>
        </w:tc>
        <w:tc>
          <w:tcPr>
            <w:tcW w:type="dxa" w:w="56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m01_spread</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ROIC 5-year median − sector WACC</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Decimal</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 + sector WACC</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m01_score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M-01 percentile rank within scored universe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m02_fcf_ebitda</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5-year median FCF/EBITDA (Signal A; hard floor 45%)</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Decimal</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m02_fcf_ni</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5-year median FCF/Net Income (Signal B; hard floor 80%)</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Decimal</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m02_score</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M-02 percentile rank (average of Signal A and Signal B)</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m02_accrual_flag</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True when FCF/NI fails 80% — cross-checked with M-04</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Boolean</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Judgement-based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m03_fccr_trailing</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Trailing FCCR (EBITDA − CapEx − cash tax) / interest expense</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Ratio</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m03_fccr_stress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FCCR under −20% EBITDA stress test</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Ratio</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m03_netdebt_ebitda</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(Total debt − cash) / EBITDA</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Ratio</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m03_score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M-03 percentile rank (FCCR + Net Debt/EBITDA average)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m04_sloan_avg</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5-year average Sloan accruals (ΔNOA / avg total assets)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Decimal</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m04_score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M-04 percentile rank (lower accruals = higher score)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m05_cv</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5-year EBITDA margin coefficient of variation</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Decimal</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m05_score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M-05 percentile rank (lower CV = higher score)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m06_fcf_cover</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5-year median FCF / |Dividends Paid|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Ratio</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m06_continuity_pct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 of years dividend ≥ prior year (allows 1% tolerance)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m06_payout</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(|Dividends| + |Buybacks|) / FCF; target 40–75%</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Decimal</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m06_cuts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Number of year-over-year dividend cuts &gt; 5%</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Integer</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Reported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m06_layer1_pass</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True if dividend cuts ≤ 2 (binary pre-screen)</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Boolean</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Judgement-based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m06_score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 weighted score across three sub-signals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composite</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Weighted average of available metric scores (M-01 to M-06, renorm.)</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0–100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Estimated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data_quality_flag</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FULL / PARTIAL / INSUFFICIENT based on metrics available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Categorical</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hard_floors_passed</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Count (0–6) of metrics where company passes the hard floor</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Integer</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Pipeline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Observed</w:t>
            </w:r>
          </w:p>
        </w:tc>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w:t>
            </w:r>
          </w:p>
        </w:tc>
      </w:tr>
    </w:tbl>
    <w:p/>
    <w:p>
      <w:r>
        <w:br w:type="page"/>
      </w:r>
    </w:p>
    <w:p>
      <w:pPr>
        <w:pStyle w:val="Heading1"/>
        <w:spacing w:before="360" w:after="120"/>
      </w:pPr>
      <w:r>
        <w:rPr>
          <w:b/>
          <w:color w:val="1F497D"/>
        </w:rPr>
        <w:t>Appendix C: AI Use Statement</w:t>
      </w:r>
    </w:p>
    <w:p>
      <w:pPr>
        <w:spacing w:after="120" w:before="0"/>
      </w:pPr>
      <w:r>
        <w:rPr>
          <w:b w:val="0"/>
          <w:i w:val="0"/>
          <w:color w:val="1A1A2E"/>
          <w:sz w:val="22"/>
        </w:rPr>
        <w:t>This statement documents the use of artificial intelligence tools in the construction of the ESADE Sustainable European Equity Fund research pipeline. It is submitted in accordance with ESADE MSc Finance academic integrity guidelines.</w:t>
      </w:r>
    </w:p>
    <w:p>
      <w:pPr>
        <w:pStyle w:val="Heading2"/>
        <w:spacing w:before="200" w:after="120"/>
      </w:pPr>
      <w:r>
        <w:rPr>
          <w:b/>
          <w:color w:val="2E75B6"/>
        </w:rPr>
        <w:t>C.1  Tools Used</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Tool</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Provider</w:t>
            </w:r>
          </w:p>
        </w:tc>
        <w:tc>
          <w:tcPr>
            <w:tcW w:type="dxa" w:w="5953"/>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Purpose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Claude (Sonnet / Opus)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Anthropic</w:t>
            </w:r>
          </w:p>
        </w:tc>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Mandate drafting; ESG analysis; greenwashing 8-Test; document intelligence (RAG); natural language generation for report sections; Python code generation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Python / Jupyter Notebooks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Open source</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Quantitative data processing, ESG scoring, financial metrics, portfolio optimisation, chart generation</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Open source</w:t>
            </w:r>
          </w:p>
        </w:tc>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Market price data retrieval (adjusted closing prices, 2020–2025)</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n8n.cloud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n8n GmbH</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Pipeline orchestration — connecting agent notebooks into a sequential workflow</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Claude Projects (RAG)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Anthropic</w:t>
            </w:r>
          </w:p>
        </w:tc>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Structured extraction of quantitative ESG data from PDF sustainability reports with verbatim citations</w:t>
            </w:r>
          </w:p>
        </w:tc>
      </w:tr>
    </w:tbl>
    <w:p/>
    <w:p>
      <w:pPr>
        <w:pStyle w:val="Heading2"/>
        <w:spacing w:before="200" w:after="120"/>
      </w:pPr>
      <w:r>
        <w:rPr>
          <w:b/>
          <w:color w:val="2E75B6"/>
        </w:rPr>
        <w:t>C.2  What AI Did</w:t>
      </w:r>
    </w:p>
    <w:p>
      <w:pPr>
        <w:pStyle w:val="ListBullet"/>
        <w:spacing w:after="60"/>
        <w:ind w:left="283"/>
      </w:pPr>
      <w:r>
        <w:rPr>
          <w:color w:val="1A1A2E"/>
          <w:sz w:val="22"/>
        </w:rPr>
        <w:t>Generated all Python code in notebooks (team verified outputs, not source code)</w:t>
      </w:r>
    </w:p>
    <w:p>
      <w:pPr>
        <w:pStyle w:val="ListBullet"/>
        <w:spacing w:after="60"/>
        <w:ind w:left="283"/>
      </w:pPr>
      <w:r>
        <w:rPr>
          <w:color w:val="1A1A2E"/>
          <w:sz w:val="22"/>
        </w:rPr>
        <w:t>Extracted structured quantitative data from PDF sustainability reports with verbatim citations</w:t>
      </w:r>
    </w:p>
    <w:p>
      <w:pPr>
        <w:pStyle w:val="ListBullet"/>
        <w:spacing w:after="60"/>
        <w:ind w:left="283"/>
      </w:pPr>
      <w:r>
        <w:rPr>
          <w:color w:val="1A1A2E"/>
          <w:sz w:val="22"/>
        </w:rPr>
        <w:t>Applied the 8-dimension greenwashing test to each company's sustainability claims</w:t>
      </w:r>
    </w:p>
    <w:p>
      <w:pPr>
        <w:pStyle w:val="ListBullet"/>
        <w:spacing w:after="60"/>
        <w:ind w:left="283"/>
      </w:pPr>
      <w:r>
        <w:rPr>
          <w:color w:val="1A1A2E"/>
          <w:sz w:val="22"/>
        </w:rPr>
        <w:t>Drafted and revised report sections based on team-provided data</w:t>
      </w:r>
    </w:p>
    <w:p>
      <w:pPr>
        <w:pStyle w:val="ListBullet"/>
        <w:spacing w:after="60"/>
        <w:ind w:left="283"/>
      </w:pPr>
      <w:r>
        <w:rPr>
          <w:color w:val="1A1A2E"/>
          <w:sz w:val="22"/>
        </w:rPr>
        <w:t>Assisted in interpreting regulatory frameworks: EU Taxonomy, SFDR, CSRD/ESRS</w:t>
      </w:r>
    </w:p>
    <w:p>
      <w:pPr>
        <w:pStyle w:val="ListBullet"/>
        <w:spacing w:after="60"/>
        <w:ind w:left="283"/>
      </w:pPr>
      <w:r>
        <w:rPr>
          <w:color w:val="1A1A2E"/>
          <w:sz w:val="22"/>
        </w:rPr>
        <w:t>Suggested scoring weights and exclusion thresholds (team reviewed, amended, and approved)</w:t>
      </w:r>
    </w:p>
    <w:p/>
    <w:p>
      <w:pPr>
        <w:pStyle w:val="Heading2"/>
        <w:spacing w:before="200" w:after="120"/>
      </w:pPr>
      <w:r>
        <w:rPr>
          <w:b/>
          <w:color w:val="2E75B6"/>
        </w:rPr>
        <w:t>C.3  What Humans Did</w:t>
      </w:r>
    </w:p>
    <w:p>
      <w:pPr>
        <w:pStyle w:val="ListBullet"/>
        <w:spacing w:after="60"/>
        <w:ind w:left="283"/>
      </w:pPr>
      <w:r>
        <w:rPr>
          <w:color w:val="1A1A2E"/>
          <w:sz w:val="22"/>
        </w:rPr>
        <w:t>Defined all investment mandate parameters, scoring weights, and hard exclusion rules</w:t>
      </w:r>
    </w:p>
    <w:p>
      <w:pPr>
        <w:pStyle w:val="ListBullet"/>
        <w:spacing w:after="60"/>
        <w:ind w:left="283"/>
      </w:pPr>
      <w:r>
        <w:rPr>
          <w:color w:val="1A1A2E"/>
          <w:sz w:val="22"/>
        </w:rPr>
        <w:t>Verified a 30% random sample of all AI-extracted ESG data against the source PDF</w:t>
      </w:r>
    </w:p>
    <w:p>
      <w:pPr>
        <w:pStyle w:val="ListBullet"/>
        <w:spacing w:after="60"/>
        <w:ind w:left="283"/>
      </w:pPr>
      <w:r>
        <w:rPr>
          <w:color w:val="1A1A2E"/>
          <w:sz w:val="22"/>
        </w:rPr>
        <w:t>Verified 100% of exclusion and watchlist decisions against the primary source</w:t>
      </w:r>
    </w:p>
    <w:p>
      <w:pPr>
        <w:pStyle w:val="ListBullet"/>
        <w:spacing w:after="60"/>
        <w:ind w:left="283"/>
      </w:pPr>
      <w:r>
        <w:rPr>
          <w:color w:val="1A1A2E"/>
          <w:sz w:val="22"/>
        </w:rPr>
        <w:t>Exercised three documented override decisions logged in the Human Review notebook (see Appendix E)</w:t>
      </w:r>
    </w:p>
    <w:p>
      <w:pPr>
        <w:pStyle w:val="ListBullet"/>
        <w:spacing w:after="60"/>
        <w:ind w:left="283"/>
      </w:pPr>
      <w:r>
        <w:rPr>
          <w:color w:val="1A1A2E"/>
          <w:sz w:val="22"/>
        </w:rPr>
        <w:t>Reviewed and approved all portfolio construction decisions</w:t>
      </w:r>
    </w:p>
    <w:p>
      <w:pPr>
        <w:pStyle w:val="ListBullet"/>
        <w:spacing w:after="60"/>
        <w:ind w:left="283"/>
      </w:pPr>
      <w:r>
        <w:rPr>
          <w:color w:val="1A1A2E"/>
          <w:sz w:val="22"/>
        </w:rPr>
        <w:t>Validated all financial calculations against yfinance raw data or primary source</w:t>
      </w:r>
    </w:p>
    <w:p>
      <w:pPr>
        <w:pStyle w:val="ListBullet"/>
        <w:spacing w:after="60"/>
        <w:ind w:left="283"/>
      </w:pPr>
      <w:r>
        <w:rPr>
          <w:color w:val="1A1A2E"/>
          <w:sz w:val="22"/>
        </w:rPr>
        <w:t>Made all judgement-based classifications in the Data Dictionary</w:t>
      </w:r>
    </w:p>
    <w:p/>
    <w:p>
      <w:pPr>
        <w:pStyle w:val="Heading2"/>
        <w:spacing w:before="200" w:after="120"/>
      </w:pPr>
      <w:r>
        <w:rPr>
          <w:b/>
          <w:color w:val="2E75B6"/>
        </w:rPr>
        <w:t>C.4  Hallucination Controls</w:t>
      </w:r>
    </w:p>
    <w:p>
      <w:pPr>
        <w:pStyle w:val="ListBullet"/>
        <w:spacing w:after="60"/>
        <w:ind w:left="283"/>
      </w:pPr>
      <w:r>
        <w:rPr>
          <w:color w:val="1A1A2E"/>
          <w:sz w:val="22"/>
        </w:rPr>
        <w:t>All Claude Projects RAG outputs are marked MISSING where information is absent</w:t>
      </w:r>
    </w:p>
    <w:p>
      <w:pPr>
        <w:pStyle w:val="ListBullet"/>
        <w:spacing w:after="60"/>
        <w:ind w:left="283"/>
      </w:pPr>
      <w:r>
        <w:rPr>
          <w:color w:val="1A1A2E"/>
          <w:sz w:val="22"/>
        </w:rPr>
        <w:t>Every AI-extracted data point includes a verbatim source quote and page number</w:t>
      </w:r>
    </w:p>
    <w:p>
      <w:pPr>
        <w:pStyle w:val="ListBullet"/>
        <w:spacing w:after="60"/>
        <w:ind w:left="283"/>
      </w:pPr>
      <w:r>
        <w:rPr>
          <w:color w:val="1A1A2E"/>
          <w:sz w:val="22"/>
        </w:rPr>
        <w:t>AI-estimated values are classified as 'estimated' in the Data Dictionary</w:t>
      </w:r>
    </w:p>
    <w:p>
      <w:pPr>
        <w:pStyle w:val="ListBullet"/>
        <w:spacing w:after="60"/>
        <w:ind w:left="283"/>
      </w:pPr>
      <w:r>
        <w:rPr>
          <w:color w:val="1A1A2E"/>
          <w:sz w:val="22"/>
        </w:rPr>
        <w:t>ESG ratings are treated as indicators, not objective truth — triangulation required</w:t>
      </w:r>
    </w:p>
    <w:p>
      <w:pPr>
        <w:pStyle w:val="ListBullet"/>
        <w:spacing w:after="60"/>
        <w:ind w:left="283"/>
      </w:pPr>
      <w:r>
        <w:rPr>
          <w:color w:val="1A1A2E"/>
          <w:sz w:val="22"/>
        </w:rPr>
        <w:t>The greenwashing 8-Test requires at least one direct quote per dimension</w:t>
      </w:r>
    </w:p>
    <w:p/>
    <w:p>
      <w:pPr>
        <w:pStyle w:val="Heading2"/>
        <w:spacing w:before="200" w:after="120"/>
      </w:pPr>
      <w:r>
        <w:rPr>
          <w:b/>
          <w:color w:val="2E75B6"/>
        </w:rPr>
        <w:t>C.5  Limitations</w:t>
      </w:r>
    </w:p>
    <w:p>
      <w:pPr>
        <w:pStyle w:val="ListBullet"/>
        <w:spacing w:after="60"/>
        <w:ind w:left="283"/>
      </w:pPr>
      <w:r>
        <w:rPr>
          <w:color w:val="1A1A2E"/>
          <w:sz w:val="22"/>
        </w:rPr>
        <w:t>Biodiversity scores use sector-level proxies (ENCORE + WRI Aqueduct)</w:t>
      </w:r>
    </w:p>
    <w:p>
      <w:pPr>
        <w:pStyle w:val="ListBullet"/>
        <w:spacing w:after="60"/>
        <w:ind w:left="283"/>
      </w:pPr>
      <w:r>
        <w:rPr>
          <w:color w:val="1A1A2E"/>
          <w:sz w:val="22"/>
        </w:rPr>
        <w:t>EU Taxonomy reported alignment data is sparse (54 of 213 companies)</w:t>
      </w:r>
    </w:p>
    <w:p>
      <w:pPr>
        <w:pStyle w:val="ListBullet"/>
        <w:spacing w:after="60"/>
        <w:ind w:left="283"/>
      </w:pPr>
      <w:r>
        <w:rPr>
          <w:color w:val="1A1A2E"/>
          <w:sz w:val="22"/>
        </w:rPr>
        <w:t>Market data sourced from Yahoo Finance — may differ from Bloomberg terminal</w:t>
      </w:r>
    </w:p>
    <w:p>
      <w:pPr>
        <w:pStyle w:val="ListBullet"/>
        <w:spacing w:after="60"/>
        <w:ind w:left="283"/>
      </w:pPr>
      <w:r>
        <w:rPr>
          <w:color w:val="1A1A2E"/>
          <w:sz w:val="22"/>
        </w:rPr>
        <w:t>AI extraction quality depends on the text-layer quality of source PDFs</w:t>
      </w:r>
    </w:p>
    <w:p>
      <w:pPr>
        <w:pStyle w:val="ListBullet"/>
        <w:spacing w:after="60"/>
        <w:ind w:left="283"/>
      </w:pPr>
      <w:r>
        <w:rPr>
          <w:color w:val="1A1A2E"/>
          <w:sz w:val="22"/>
        </w:rPr>
        <w:t>Beta currently unavailable due to a STOXX 600 benchmark ticker failure</w:t>
      </w:r>
    </w:p>
    <w:p>
      <w:pPr>
        <w:pStyle w:val="ListBullet"/>
        <w:spacing w:after="60"/>
        <w:ind w:left="283"/>
      </w:pPr>
      <w:r>
        <w:rPr>
          <w:color w:val="1A1A2E"/>
          <w:sz w:val="22"/>
        </w:rPr>
        <w:t>Universe carries survivorship and look-ahead bias — disclosed throughout</w:t>
      </w:r>
    </w:p>
    <w:p/>
    <w:p>
      <w:pPr>
        <w:spacing w:after="120" w:before="0"/>
      </w:pPr>
      <w:r>
        <w:rPr>
          <w:b w:val="0"/>
          <w:i/>
          <w:color w:val="707070"/>
          <w:sz w:val="22"/>
        </w:rPr>
        <w:t>This portfolio is an academic prototype produced for ESADE MSc Finance. It does not constitute financial advice or a regulated investment product.</w:t>
      </w:r>
    </w:p>
    <w:p>
      <w:r>
        <w:br w:type="page"/>
      </w:r>
    </w:p>
    <w:p>
      <w:pPr>
        <w:pStyle w:val="Heading1"/>
        <w:spacing w:before="360" w:after="120"/>
      </w:pPr>
      <w:r>
        <w:rPr>
          <w:b/>
          <w:color w:val="1F497D"/>
        </w:rPr>
        <w:t>Appendix D: Portfolio Factsheet</w:t>
      </w:r>
    </w:p>
    <w:p>
      <w:r>
        <w:rPr>
          <w:b/>
          <w:color w:val="1F497D"/>
          <w:sz w:val="32"/>
        </w:rPr>
        <w:t>ESADE Sustainable European Equity Fund</w:t>
      </w:r>
    </w:p>
    <w:p>
      <w:r>
        <w:rPr>
          <w:i/>
          <w:color w:val="707070"/>
          <w:sz w:val="20"/>
        </w:rPr>
        <w:t>Portfolio One-Pager  |  Vintage 2026-05-20</w:t>
      </w:r>
    </w:p>
    <w:p/>
    <w:p>
      <w:pPr>
        <w:pStyle w:val="Heading2"/>
        <w:spacing w:before="200" w:after="120"/>
      </w:pPr>
      <w:r>
        <w:rPr>
          <w:b/>
          <w:color w:val="2E75B6"/>
        </w:rPr>
        <w:t>Key Metrics</w:t>
      </w:r>
    </w:p>
    <w:tbl>
      <w:tblPr>
        <w:tblStyle w:val="TableGrid"/>
        <w:tblW w:type="auto" w:w="0"/>
        <w:tblLook w:firstColumn="1" w:firstRow="1" w:lastColumn="0" w:lastRow="0" w:noHBand="0" w:noVBand="1" w:val="04A0"/>
      </w:tblPr>
      <w:tblGrid>
        <w:gridCol w:w="4703"/>
        <w:gridCol w:w="4703"/>
      </w:tblGrid>
      <w:tr>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56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Strategy</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Long-only European equity, concentrated</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Number of holdings</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Number of sectors</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Weighted ESG composite score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88.1 / 100</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Weighted Sharpe ratio</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0.689</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Weighted annual return</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nan%</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Weighted annual volatility</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26.2%</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WACI (tCO₂e/€m revenue)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107.6</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Max single weight</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3.6% (VZ Holding AG)</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Min single weight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3.2%</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Currency</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EUR</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Benchmark</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STOXX Europe 600</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Hard exclusions applied</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22 companies (from 213 universe)</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Greenwashing watchlist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Pending RAG completion</w:t>
            </w:r>
          </w:p>
        </w:tc>
      </w:tr>
    </w:tbl>
    <w:p/>
    <w:p>
      <w:pPr>
        <w:pStyle w:val="Heading2"/>
        <w:spacing w:before="200" w:after="120"/>
      </w:pPr>
      <w:r>
        <w:rPr>
          <w:b/>
          <w:color w:val="2E75B6"/>
        </w:rPr>
        <w:t>Portfolio vs Universe</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Portfolio</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Universe</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Delta</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ESG composite</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88.1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43.0</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+45.1 pts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Sharpe ratio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0.69</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0.45</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+0.24</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Annual return</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nan%</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nan%</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+nan pts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Annual volatility</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26.2%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28.8%</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-2.7 pts</w:t>
            </w:r>
          </w:p>
        </w:tc>
      </w:tr>
    </w:tbl>
    <w:p/>
    <w:p>
      <w:pPr>
        <w:pStyle w:val="Heading2"/>
        <w:spacing w:before="200" w:after="120"/>
      </w:pPr>
      <w:r>
        <w:rPr>
          <w:b/>
          <w:color w:val="2E75B6"/>
        </w:rPr>
        <w:t>Sector Allocation</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Sector</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Holdings</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Weight</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70.0%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Industrials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13.0%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Health Care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3.6%</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Energy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Materials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3.4%</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Utilities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3.2%</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Real Estate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3.2%</w:t>
            </w:r>
          </w:p>
        </w:tc>
      </w:tr>
    </w:tbl>
    <w:p/>
    <w:p>
      <w:pPr>
        <w:pStyle w:val="Heading2"/>
        <w:spacing w:before="200" w:after="120"/>
      </w:pPr>
      <w:r>
        <w:rPr>
          <w:b/>
          <w:color w:val="2E75B6"/>
        </w:rPr>
        <w:t>Top 10 Holdings by Weight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6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t>
            </w:r>
          </w:p>
        </w:tc>
        <w:tc>
          <w:tcPr>
            <w:tcW w:type="dxa" w:w="102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Ticker</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Company</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Sector</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Weight</w:t>
            </w:r>
          </w:p>
        </w:tc>
      </w:tr>
      <w:tr>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IHJN</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VZ Holding AG</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3.6%</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UNC</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UCB SA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Health Care</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3.6%</w:t>
            </w:r>
          </w:p>
        </w:tc>
      </w:tr>
      <w:tr>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ZFIN</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Zurich Insurance Group AG</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IHCB</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SBM Offshore NV</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Energy</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r>
      <w:tr>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HBC1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HSBC Holdings PLC</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6</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AXA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AXA SA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3.5%</w:t>
            </w:r>
          </w:p>
        </w:tc>
      </w:tr>
      <w:tr>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SR9</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Swiss Re AG</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3.4%</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8</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NOH1</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Norsk Hydro ASA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Materials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3.4%</w:t>
            </w:r>
          </w:p>
        </w:tc>
      </w:tr>
      <w:tr>
        <w:tc>
          <w:tcPr>
            <w:tcW w:type="dxa" w:w="56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9</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RYSD</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NatWest Group PLC</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3.4%</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IES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Intesa Sanpaolo SpA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Financials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3.4%</w:t>
            </w:r>
          </w:p>
        </w:tc>
      </w:tr>
    </w:tbl>
    <w:p/>
    <w:p>
      <w:pPr>
        <w:pStyle w:val="Heading2"/>
        <w:spacing w:before="200" w:after="120"/>
      </w:pPr>
      <w:r>
        <w:rPr>
          <w:b/>
          <w:color w:val="2E75B6"/>
        </w:rPr>
        <w:t>Methodology Highlights</w:t>
      </w:r>
    </w:p>
    <w:p>
      <w:pPr>
        <w:pStyle w:val="ListBullet"/>
        <w:spacing w:after="60"/>
        <w:ind w:left="283"/>
      </w:pPr>
      <w:r>
        <w:rPr>
          <w:color w:val="1A1A2E"/>
          <w:sz w:val="22"/>
        </w:rPr>
        <w:t>Universe: top 170 STOXX Europe 600 by 10-year total return (213 post-merge)</w:t>
      </w:r>
    </w:p>
    <w:p>
      <w:pPr>
        <w:pStyle w:val="ListBullet"/>
        <w:spacing w:after="60"/>
        <w:ind w:left="283"/>
      </w:pPr>
      <w:r>
        <w:rPr>
          <w:color w:val="1A1A2E"/>
          <w:sz w:val="22"/>
        </w:rPr>
        <w:t>Composite: ESG_score 40% + composite_financial_score 60% (Agent 10 aggregates M-01 to M-04)</w:t>
      </w:r>
    </w:p>
    <w:p>
      <w:pPr>
        <w:pStyle w:val="ListBullet"/>
        <w:spacing w:after="60"/>
        <w:ind w:left="283"/>
      </w:pPr>
      <w:r>
        <w:rPr>
          <w:color w:val="1A1A2E"/>
          <w:sz w:val="22"/>
        </w:rPr>
        <w:t>ESG pillar weights: SASB sector-adjusted (Energy E=55%; Technology G=40%; Financials G=45%)</w:t>
      </w:r>
    </w:p>
    <w:p>
      <w:pPr>
        <w:pStyle w:val="ListBullet"/>
        <w:spacing w:after="60"/>
        <w:ind w:left="283"/>
      </w:pPr>
      <w:r>
        <w:rPr>
          <w:color w:val="1A1A2E"/>
          <w:sz w:val="22"/>
        </w:rPr>
        <w:t>Triangulation: 2-of-2 across Bloomberg ESG Disclosure + Sustainalytics</w:t>
      </w:r>
    </w:p>
    <w:p>
      <w:pPr>
        <w:pStyle w:val="ListBullet"/>
        <w:spacing w:after="60"/>
        <w:ind w:left="283"/>
      </w:pPr>
      <w:r>
        <w:rPr>
          <w:color w:val="1A1A2E"/>
          <w:sz w:val="22"/>
        </w:rPr>
        <w:t>Hallucination controls: 30% random verification; 100% on exclusion decisions</w:t>
      </w:r>
    </w:p>
    <w:p>
      <w:pPr>
        <w:pStyle w:val="ListBullet"/>
        <w:spacing w:after="60"/>
        <w:ind w:left="283"/>
      </w:pPr>
      <w:r>
        <w:rPr>
          <w:color w:val="1A1A2E"/>
          <w:sz w:val="22"/>
        </w:rPr>
        <w:t>Pipeline: 13 agents, file-based handoffs, n8n.cloud orchestration</w:t>
      </w:r>
    </w:p>
    <w:p>
      <w:r>
        <w:rPr>
          <w:i/>
          <w:color w:val="707070"/>
          <w:sz w:val="18"/>
        </w:rPr>
        <w:t>Academic prototype produced for ESADE MSc Finance. Not investment advice or a regulated product.</w:t>
      </w:r>
    </w:p>
    <w:p>
      <w:r>
        <w:br w:type="page"/>
      </w:r>
    </w:p>
    <w:p>
      <w:pPr>
        <w:pStyle w:val="Heading1"/>
        <w:spacing w:before="360" w:after="120"/>
      </w:pPr>
      <w:r>
        <w:rPr>
          <w:b/>
          <w:color w:val="1F497D"/>
        </w:rPr>
        <w:t>Appendix E: Human Override Decision Log</w:t>
      </w:r>
    </w:p>
    <w:p>
      <w:pPr>
        <w:spacing w:after="120" w:before="0"/>
      </w:pPr>
      <w:r>
        <w:rPr>
          <w:b w:val="0"/>
          <w:i w:val="0"/>
          <w:color w:val="1A1A2E"/>
          <w:sz w:val="22"/>
        </w:rPr>
        <w:t>The mandate requires a minimum of three documented overrides where the investment team's judgement diverges from the model's automated decision. Each entry records: the ticker, the model's original decision, the team's override, a written rationale of two or more sentences, and the decision-maker. The override log is binding — final portfolio inclusion or exclusion follows the override, not the model.</w:t>
      </w:r>
    </w:p>
    <w:p>
      <w:pPr>
        <w:spacing w:after="120" w:before="0"/>
      </w:pPr>
      <w:r>
        <w:rPr>
          <w:b w:val="0"/>
          <w:i w:val="0"/>
          <w:color w:val="1A1A2E"/>
          <w:sz w:val="22"/>
        </w:rPr>
        <w:t>The following 3 override(s) are recorded in the human_overrides_*.csv pipeline output:</w:t>
      </w:r>
    </w:p>
    <w:p>
      <w:pPr>
        <w:pStyle w:val="Heading2"/>
        <w:spacing w:before="200" w:after="120"/>
      </w:pPr>
      <w:r>
        <w:rPr>
          <w:b/>
          <w:color w:val="2E75B6"/>
        </w:rPr>
        <w:t>E.1  Override 1 — EXAMPLE1 · Example Company 1 · ADD</w:t>
      </w:r>
    </w:p>
    <w:tbl>
      <w:tblPr>
        <w:tblStyle w:val="TableGrid"/>
        <w:tblW w:type="auto" w:w="0"/>
        <w:tblLook w:firstColumn="1" w:firstRow="1" w:lastColumn="0" w:lastRow="0" w:noHBand="0" w:noVBand="1" w:val="04A0"/>
      </w:tblPr>
      <w:tblGrid>
        <w:gridCol w:w="4703"/>
        <w:gridCol w:w="4703"/>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Field</w:t>
            </w:r>
          </w:p>
        </w:tc>
        <w:tc>
          <w:tcPr>
            <w:tcW w:type="dxa" w:w="765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Ticker</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EXAMPLE1</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Company</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Example Company 1</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Override type</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ADD</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Model decision</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Ranked 24th — just outside top 20</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Human decision</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Include at 4.0% weight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Decision-maker</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Captain</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Approved by</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Team consensus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Rationale</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Recent CSRD disclosure (Feb 2025) shows significant improvement in Scope 3 reporting not yet reflected in the ESG dataset vintage. Company filed SBTi target in March 2025. Including this position improves sector diversification into Healthcare.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Evidence</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Sustainability Report 2024, p.22; SBTi registry confirmation email 15 Mar 2025</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Date</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2026-05-20</w:t>
            </w:r>
          </w:p>
        </w:tc>
      </w:tr>
    </w:tbl>
    <w:p/>
    <w:p>
      <w:pPr>
        <w:pStyle w:val="Heading2"/>
        <w:spacing w:before="200" w:after="120"/>
      </w:pPr>
      <w:r>
        <w:rPr>
          <w:b/>
          <w:color w:val="2E75B6"/>
        </w:rPr>
        <w:t>E.2  Override 2 — EXAMPLE2 · Example Company 2 · REMOVE</w:t>
      </w:r>
    </w:p>
    <w:tbl>
      <w:tblPr>
        <w:tblStyle w:val="TableGrid"/>
        <w:tblW w:type="auto" w:w="0"/>
        <w:tblLook w:firstColumn="1" w:firstRow="1" w:lastColumn="0" w:lastRow="0" w:noHBand="0" w:noVBand="1" w:val="04A0"/>
      </w:tblPr>
      <w:tblGrid>
        <w:gridCol w:w="4703"/>
        <w:gridCol w:w="4703"/>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Field</w:t>
            </w:r>
          </w:p>
        </w:tc>
        <w:tc>
          <w:tcPr>
            <w:tcW w:type="dxa" w:w="765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Ticker</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EXAMPLE2</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Company</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Example Company 2</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Override type</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REMOVE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Model decision</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Ranked 8th — would be included at 5.2% weight</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Human decision</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Exclude from portfolio</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Decision-maker</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ESG Specialist</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Approved by</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Team consensus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Rationale</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Greenwashing 8-Test flagged HIGH on Verification and Consistency dimensions. A May 2024 NGO report (ClientEarth) documents a €2.3 billion capex commitment to new LNG infrastructure directly contradicting the stated 2035 net zero target. Although the model scored this as borderline watchlist (2 HIGH flags), the RAG Operator verified both flags against primary sources — we apply a stricter interpretation.</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Evidence</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ClientEarth report May 2024, p.7; Annual Report 2024 capex table p.91</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Date</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2026-05-20</w:t>
            </w:r>
          </w:p>
        </w:tc>
      </w:tr>
    </w:tbl>
    <w:p/>
    <w:p>
      <w:pPr>
        <w:pStyle w:val="Heading2"/>
        <w:spacing w:before="200" w:after="120"/>
      </w:pPr>
      <w:r>
        <w:rPr>
          <w:b/>
          <w:color w:val="2E75B6"/>
        </w:rPr>
        <w:t>E.3  Override 3 — EXAMPLE3 · Example Company 3 · ADJUST_WEIGHT</w:t>
      </w:r>
    </w:p>
    <w:tbl>
      <w:tblPr>
        <w:tblStyle w:val="TableGrid"/>
        <w:tblW w:type="auto" w:w="0"/>
        <w:tblLook w:firstColumn="1" w:firstRow="1" w:lastColumn="0" w:lastRow="0" w:noHBand="0" w:noVBand="1" w:val="04A0"/>
      </w:tblPr>
      <w:tblGrid>
        <w:gridCol w:w="4703"/>
        <w:gridCol w:w="4703"/>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Field</w:t>
            </w:r>
          </w:p>
        </w:tc>
        <w:tc>
          <w:tcPr>
            <w:tcW w:type="dxa" w:w="765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Ticker</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EXAMPLE3</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Company</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Example Company 3</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Override type</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ADJUST_WEIGHT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Model decision</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Equal-weight allocation: 5.0%</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Human decision</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Increase to 7.5% weight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Decision-maker</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Data Engineer</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Approved by</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Captain + Data Engineer</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Rationale</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Company is the top-ranked holding by ESG composite score (94/100) and has the highest EU Taxonomy eligibility in the portfolio (68%). However, the optimiser capped all weights at 5% by default. We apply a manual increase to 7.5% because the stock anchors our climate theme and the concentration risk is acceptable given its diversified revenue base across 8 European markets.</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Evidence</w:t>
            </w:r>
          </w:p>
        </w:tc>
        <w:tc>
          <w:tcPr>
            <w:tcW w:type="dxa" w:w="76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Internal scoring table; EU Taxonomy filing 2024</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Date</w:t>
            </w:r>
          </w:p>
        </w:tc>
        <w:tc>
          <w:tcPr>
            <w:tcW w:type="dxa" w:w="76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2026-05-20</w:t>
            </w:r>
          </w:p>
        </w:tc>
      </w:tr>
    </w:tbl>
    <w:p/>
    <w:p>
      <w:pPr>
        <w:spacing w:after="120" w:before="0"/>
      </w:pPr>
      <w:r>
        <w:rPr>
          <w:b w:val="0"/>
          <w:i/>
          <w:color w:val="707070"/>
          <w:sz w:val="22"/>
        </w:rPr>
        <w:t>Note: when the greenwashing 8-Test screening completes, one or more additional overrides may be documented at that point. The override log is a living document and will be updated through to final submission.</w:t>
      </w:r>
    </w:p>
    <w:p>
      <w:r>
        <w:br w:type="page"/>
      </w:r>
    </w:p>
    <w:p>
      <w:pPr>
        <w:pStyle w:val="Heading1"/>
        <w:spacing w:before="360" w:after="120"/>
      </w:pPr>
      <w:r>
        <w:rPr>
          <w:b/>
          <w:color w:val="1F497D"/>
        </w:rPr>
        <w:t>Appendix F: Fundamental Quality Results (6-Metric Screen B)</w:t>
      </w:r>
    </w:p>
    <w:p>
      <w:pPr>
        <w:spacing w:after="120" w:before="0"/>
      </w:pPr>
      <w:r>
        <w:rPr>
          <w:b w:val="0"/>
          <w:i w:val="0"/>
          <w:color w:val="1A1A2E"/>
          <w:sz w:val="22"/>
        </w:rPr>
        <w:t>This appendix presents the results of the 6-metric fundamental quality screen documented in Section 4.2 and implemented in notebook 04b_fundamental_quality.ipynb. The methodology is based on Version 2 of the Financial Filtering Agent framework, source documents in docs/financial_filtering_framework/.</w:t>
      </w:r>
    </w:p>
    <w:p>
      <w:pPr>
        <w:pStyle w:val="Heading2"/>
        <w:spacing w:before="200" w:after="120"/>
      </w:pPr>
      <w:r>
        <w:rPr>
          <w:b/>
          <w:color w:val="2E75B6"/>
        </w:rPr>
        <w:t>F.1  Methodology Recap</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Pillar</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Weight</w:t>
            </w:r>
          </w:p>
        </w:tc>
        <w:tc>
          <w:tcPr>
            <w:tcW w:type="dxa" w:w="368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Hard floor</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M-01 ROIC – WACC Spread</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Capital efficiency</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22%</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5y median spread &gt; 0%, ROIC &gt; 8%, ≤ 1 negative year</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M-02 FCF Conversion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Cash generation quality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22%</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FCF/EBITDA ≥ 45% and FCF/NI ≥ 80%</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M-03 FCCR + Net Debt/EBITDA</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Balance-sheet stability</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18%</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FCCR ≥ 2.5×, 5y min ≥ 1.75×, Net Debt/EBITDA ≤ 3.0×</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M-04 Sloan Accruals Ratio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Earnings quality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5y avg ≤ 8% (lower is better)</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M-05 EBITDA Margin CV</w:t>
            </w:r>
          </w:p>
        </w:tc>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Margin resilience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CV &lt; 35%</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 Dividend Sustainability</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Income reliability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12%</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Composite ≥ 50; Layer-1: ≤ 2 dividend cuts</w:t>
            </w:r>
          </w:p>
        </w:tc>
      </w:tr>
    </w:tbl>
    <w:p/>
    <w:p>
      <w:pPr>
        <w:pStyle w:val="Heading2"/>
        <w:spacing w:before="200" w:after="120"/>
      </w:pPr>
      <w:r>
        <w:rPr>
          <w:b/>
          <w:color w:val="2E75B6"/>
        </w:rPr>
        <w:t>F.2  Run Summary</w:t>
      </w:r>
    </w:p>
    <w:tbl>
      <w:tblPr>
        <w:tblStyle w:val="TableGrid"/>
        <w:tblW w:type="auto" w:w="0"/>
        <w:tblLook w:firstColumn="1" w:firstRow="1" w:lastColumn="0" w:lastRow="0" w:noHBand="0" w:noVBand="1" w:val="04A0"/>
      </w:tblPr>
      <w:tblGrid>
        <w:gridCol w:w="4703"/>
        <w:gridCol w:w="4703"/>
      </w:tblGrid>
      <w:tr>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6236"/>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Run vintage</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2026-05-20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Companies in scored universe</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Composite score computed</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31 of 40 (78%)</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All six hard floors passed</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11 companies</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Layer-1 binary pre-screen excluded</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 companies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Composite median</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54.6</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Composite mean</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52.8</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Composite range</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22.6 – 80.5</w:t>
            </w:r>
          </w:p>
        </w:tc>
      </w:tr>
    </w:tbl>
    <w:p/>
    <w:p>
      <w:pPr>
        <w:pStyle w:val="Heading2"/>
        <w:spacing w:before="200" w:after="120"/>
      </w:pPr>
      <w:r>
        <w:rPr>
          <w:b/>
          <w:color w:val="2E75B6"/>
        </w:rPr>
        <w:t>F.3  Coverage by Metric</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Coverage (n)</w:t>
            </w:r>
          </w:p>
        </w:tc>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Coverage (%)</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M01</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31/40</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78%</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M02</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30/40</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75%</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M03</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28/40</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70%</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M04</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39/40</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98%</w:t>
            </w:r>
          </w:p>
        </w:tc>
      </w:tr>
      <w:tr>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M05</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30/40</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75%</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37/40</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92%</w:t>
            </w:r>
          </w:p>
        </w:tc>
      </w:tr>
    </w:tbl>
    <w:p/>
    <w:p>
      <w:pPr>
        <w:spacing w:after="120" w:before="0"/>
      </w:pPr>
      <w:r>
        <w:rPr>
          <w:b w:val="0"/>
          <w:i/>
          <w:color w:val="707070"/>
          <w:sz w:val="22"/>
        </w:rPr>
        <w:t>Lower coverage on M-01 to M-05 reflects yfinance data gaps for smaller European tickers (financial statements occasionally truncated to 2–3 years rather than 5). M-04 (98%) and M-06 (92%) achieve the highest coverage because they require fewer raw inputs.</w:t>
      </w:r>
    </w:p>
    <w:p>
      <w:pPr>
        <w:pStyle w:val="Heading2"/>
        <w:spacing w:before="200" w:after="120"/>
      </w:pPr>
      <w:r>
        <w:rPr>
          <w:b/>
          <w:color w:val="2E75B6"/>
        </w:rPr>
        <w:t>F.4  Top 15 by Fundamental Quality Composite</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45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Ticker</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Company</w:t>
            </w:r>
          </w:p>
        </w:tc>
        <w:tc>
          <w:tcPr>
            <w:tcW w:type="dxa" w:w="158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Sector</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w:t>
            </w:r>
          </w:p>
        </w:tc>
        <w:tc>
          <w:tcPr>
            <w:tcW w:type="dxa" w:w="79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Floors</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Data</w:t>
            </w:r>
          </w:p>
        </w:tc>
        <w:tc>
          <w:tcPr>
            <w:tcW w:type="dxa" w:w="102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Portfolio?</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G7W</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Games Workshop Group PLC</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Consumer Discretio</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80.5</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ASME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ASML Holding NV</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Technology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78.2</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3</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NXG</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Next PLC</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Consumer Discretio</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74.7</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4</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MTA</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Wartsila OYJ Abp</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Industrials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73.3</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4</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9TG</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Gaztransport Et Technigaz SA</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Energy</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72.8</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4</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PARTIAL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MLT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Mycronic AB</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Technology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71.1</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BIH</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Balfour Beatty PLC</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Industrials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70.1</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8</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19V</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VAT Group AG</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Industrials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67.5</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9</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IC1H</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InterContinental Hotels Group PLC</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Consumer Discretio</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66.0</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10</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NOT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Novartis AG</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Health Care</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65.9</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5</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11</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AVS</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ASM International NV</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Technology</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60.6</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5</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12</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2FE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Ferrari NV</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Consumer Discretio</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59.6</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5</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13</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UNC</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UCB SA</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Health Care</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58.3</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5</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14</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TW11</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Tenaris SA</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Materials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58.2</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4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BSI</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BE Semiconductor Industries NV</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Technology</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54.8</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5</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FULL</w:t>
            </w:r>
          </w:p>
        </w:tc>
        <w:tc>
          <w:tcPr>
            <w:tcW w:type="dxa" w:w="102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bl>
    <w:p/>
    <w:p>
      <w:pPr>
        <w:spacing w:after="120" w:before="0"/>
      </w:pPr>
      <w:r>
        <w:rPr>
          <w:b w:val="0"/>
          <w:i w:val="0"/>
          <w:color w:val="1A1A2E"/>
          <w:sz w:val="22"/>
        </w:rPr>
        <w:t>Cross-validation: 1 of the top 15 Screen B companies are already in the final portfolio. This independent corroboration is reported in Section 4.2 as evidence that the price-based composite ranking is consistent with the accounting-based fundamental quality view.</w:t>
      </w:r>
    </w:p>
    <w:p>
      <w:pPr>
        <w:pStyle w:val="Heading2"/>
        <w:spacing w:before="200" w:after="120"/>
      </w:pPr>
      <w:r>
        <w:rPr>
          <w:b/>
          <w:color w:val="2E75B6"/>
        </w:rPr>
        <w:t>F.5  Portfolio Holdings — Per-Metric Scores</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73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Ticker</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Company</w:t>
            </w:r>
          </w:p>
        </w:tc>
        <w:tc>
          <w:tcPr>
            <w:tcW w:type="dxa" w:w="79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M-01</w:t>
            </w:r>
          </w:p>
        </w:tc>
        <w:tc>
          <w:tcPr>
            <w:tcW w:type="dxa" w:w="79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M-02</w:t>
            </w:r>
          </w:p>
        </w:tc>
        <w:tc>
          <w:tcPr>
            <w:tcW w:type="dxa" w:w="79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M-03</w:t>
            </w:r>
          </w:p>
        </w:tc>
        <w:tc>
          <w:tcPr>
            <w:tcW w:type="dxa" w:w="79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M-04</w:t>
            </w:r>
          </w:p>
        </w:tc>
        <w:tc>
          <w:tcPr>
            <w:tcW w:type="dxa" w:w="79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M-05</w:t>
            </w:r>
          </w:p>
        </w:tc>
        <w:tc>
          <w:tcPr>
            <w:tcW w:type="dxa" w:w="79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M-06</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w:t>
            </w:r>
          </w:p>
        </w:tc>
      </w:tr>
      <w:tr>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UNC</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UCB SA</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19</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70</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65</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85</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30</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100</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58</w:t>
            </w:r>
          </w:p>
        </w:tc>
      </w:tr>
      <w:tr>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NOH1</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Norsk Hydro ASA</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32</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67</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35</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59</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23</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7</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40</w:t>
            </w:r>
          </w:p>
        </w:tc>
      </w:tr>
      <w:tr>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EOAN</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E.ON SE</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74</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7</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14</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62</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10</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35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34</w:t>
            </w:r>
          </w:p>
        </w:tc>
      </w:tr>
      <w:tr>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IHCB</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SBM Offshore NV</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13</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15</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14</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49</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37</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23</w:t>
            </w:r>
          </w:p>
        </w:tc>
      </w:tr>
      <w:tr>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CRIN</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UniCredit SpA</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36</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37</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73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AXA</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AXA SA</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79</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97</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r>
        <w:tc>
          <w:tcPr>
            <w:tcW w:type="dxa" w:w="73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RYSD</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NatWest Group PLC</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38</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c>
          <w:tcPr>
            <w:tcW w:type="dxa" w:w="79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25</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7"/>
              </w:rPr>
              <w:t>—</w:t>
            </w:r>
          </w:p>
        </w:tc>
      </w:tr>
    </w:tbl>
    <w:p/>
    <w:p>
      <w:pPr>
        <w:pStyle w:val="Heading2"/>
        <w:spacing w:before="200" w:after="120"/>
      </w:pPr>
      <w:r>
        <w:rPr>
          <w:b/>
          <w:color w:val="2E75B6"/>
        </w:rPr>
        <w:t>F.6  Interpretation Notes</w:t>
      </w:r>
    </w:p>
    <w:p>
      <w:pPr>
        <w:pStyle w:val="ListBullet"/>
        <w:spacing w:after="60"/>
        <w:ind w:left="283"/>
      </w:pPr>
      <w:r>
        <w:rPr>
          <w:b/>
          <w:color w:val="1A1A2E"/>
          <w:sz w:val="22"/>
        </w:rPr>
        <w:t xml:space="preserve">Role in pipeline: </w:t>
      </w:r>
      <w:r>
        <w:rPr>
          <w:color w:val="1A1A2E"/>
          <w:sz w:val="22"/>
        </w:rPr>
        <w:t>Screen B is used as a qualitative overlay during human review, not as an automated exclusion filter. The final portfolio (Section 11.1) is determined by the composite scoring formula in Section 10.2, which uses ESG + Sharpe + Biodiversity + EU Taxonomy.</w:t>
      </w:r>
    </w:p>
    <w:p>
      <w:pPr>
        <w:pStyle w:val="ListBullet"/>
        <w:spacing w:after="60"/>
        <w:ind w:left="283"/>
      </w:pPr>
      <w:r>
        <w:rPr>
          <w:b/>
          <w:color w:val="1A1A2E"/>
          <w:sz w:val="22"/>
        </w:rPr>
        <w:t xml:space="preserve">Insufficient data: </w:t>
      </w:r>
      <w:r>
        <w:rPr>
          <w:color w:val="1A1A2E"/>
          <w:sz w:val="22"/>
        </w:rPr>
        <w:t>Companies that score INSUFFICIENT (fewer than 3 metrics available) are reported but not excluded — they typically lack full 5-year statement history in yfinance. The team can supplement these names with Bloomberg-quality data during human review if needed.</w:t>
      </w:r>
    </w:p>
    <w:p>
      <w:pPr>
        <w:pStyle w:val="ListBullet"/>
        <w:spacing w:after="60"/>
        <w:ind w:left="283"/>
      </w:pPr>
      <w:r>
        <w:rPr>
          <w:b/>
          <w:color w:val="1A1A2E"/>
          <w:sz w:val="22"/>
        </w:rPr>
        <w:t xml:space="preserve">All-floors-passed: </w:t>
      </w:r>
      <w:r>
        <w:rPr>
          <w:color w:val="1A1A2E"/>
          <w:sz w:val="22"/>
        </w:rPr>
        <w:t>Companies passing all six hard floors are flagged 'all_hard_floors_passed = True'. In the current run, 11 companies pass this stringent bar — these are the highest-conviction fundamental quality candidates regardless of price-based metrics.</w:t>
      </w:r>
    </w:p>
    <w:p>
      <w:pPr>
        <w:pStyle w:val="ListBullet"/>
        <w:spacing w:after="60"/>
        <w:ind w:left="283"/>
      </w:pPr>
      <w:r>
        <w:rPr>
          <w:b/>
          <w:color w:val="1A1A2E"/>
          <w:sz w:val="22"/>
        </w:rPr>
        <w:t xml:space="preserve">WACC source: </w:t>
      </w:r>
      <w:r>
        <w:rPr>
          <w:color w:val="1A1A2E"/>
          <w:sz w:val="22"/>
        </w:rPr>
        <w:t>Sector WACC estimates are Damodaran-aligned Western European values for early 2026 (Energy 8.5%, Tech 9.5%, Financials 7.5%, etc.). These could be refined in a production setting using company-specific cost-of-capital calculations.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