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44"/>
        </w:rPr>
        <w:t>ESADE Sustainable European Equity Fund</w:t>
      </w:r>
    </w:p>
    <w:p/>
    <w:p>
      <w:pPr>
        <w:jc w:val="center"/>
      </w:pPr>
      <w:r>
        <w:rPr>
          <w:color w:val="2E75B6"/>
          <w:sz w:val="26"/>
        </w:rPr>
        <w:t>Pipeline Architecture  ·  Universe Construction  ·  Financial Screening</w:t>
      </w:r>
    </w:p>
    <w:p/>
    <w:p>
      <w:pPr>
        <w:jc w:val="center"/>
      </w:pPr>
      <w:r>
        <w:rPr>
          <w:color w:val="707070"/>
          <w:sz w:val="22"/>
        </w:rPr>
        <w:t>ESADE MSc Finance  |  Final Group Assignment  |  May 2026</w:t>
      </w:r>
    </w:p>
    <w:p/>
    <w:p>
      <w:r>
        <w:br w:type="page"/>
      </w:r>
    </w:p>
    <w:p>
      <w:pPr>
        <w:pStyle w:val="Heading1"/>
        <w:spacing w:before="360" w:after="120"/>
      </w:pPr>
      <w:r>
        <w:rPr>
          <w:b/>
          <w:color w:val="1F497D"/>
        </w:rPr>
        <w:t>Appendix: Pipeline Architecture &amp; Agent Guide</w:t>
      </w:r>
    </w:p>
    <w:p>
      <w:pPr>
        <w:spacing w:after="200" w:before="0"/>
      </w:pPr>
      <w:r>
        <w:rPr>
          <w:b w:val="0"/>
          <w:i w:val="0"/>
          <w:color w:val="1A1A2E"/>
          <w:sz w:val="22"/>
        </w:rPr>
        <w:t>This appendix describes the AI-agent research pipeline built to screen 167 STOXX Europe 600 companies and construct the ESADE Sustainable European Equity Fund. The pipeline implements 13 agent roles across 12 Jupyter notebooks. Agents run sequentially, communicating exclusively through CSV and JSON files stored in the outputs/ folder. No agent modifies the professor-provided source data, and any single notebook can be re-run independently without cascading side-effects.</w:t>
      </w:r>
    </w:p>
    <w:p>
      <w:pPr>
        <w:pStyle w:val="Heading2"/>
        <w:spacing w:before="200" w:after="120"/>
      </w:pPr>
      <w:r>
        <w:rPr>
          <w:b/>
          <w:color w:val="2E75B6"/>
        </w:rPr>
        <w:t>A.1  Pipeline Execution Order</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Step</w:t>
            </w:r>
          </w:p>
        </w:tc>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Agent</w:t>
            </w:r>
          </w:p>
        </w:tc>
        <w:tc>
          <w:tcPr>
            <w:tcW w:type="dxa" w:w="351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Notebook</w:t>
            </w:r>
          </w:p>
        </w:tc>
        <w:tc>
          <w:tcPr>
            <w:tcW w:type="dxa" w:w="289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Type</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 — Mandate</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01_mandate.ipynb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2 — Data Ingestion</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02_data_ingestion.ipynb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3 — Data Quality</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03_data_quality.ipynb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10 — Financial Analysis</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04_financial_analysis.ipynb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Agents 5 &amp; 6 — ESG + Climate</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05_esg_climate.ipynb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7 — Biodiversity</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07_biodiversity.ipynb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8 — EU Regulation</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08_eu_regulation.ipynb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8</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4 — Document Intelligence</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06_document_intelligence.ipynb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Manual — RAG Operator</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9</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RAG Screening Sheet</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data/rag/RAG_Screening_Sheet_Workbook_v1.xlsx</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Manual — RAG Operator</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9 — Greenwashing</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09_greenwashing.ipynb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11</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11 — Portfolio Construction</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10_portfolio_construction.ipynb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12 — Human Review</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11_human_review.ipynb</w:t>
            </w:r>
          </w:p>
        </w:tc>
        <w:tc>
          <w:tcPr>
            <w:tcW w:type="dxa" w:w="289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Manual + Automated</w:t>
            </w:r>
          </w:p>
        </w:tc>
      </w:tr>
      <w:tr>
        <w:tc>
          <w:tcPr>
            <w:tcW w:type="dxa" w:w="68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13 — Reporting</w:t>
            </w:r>
          </w:p>
        </w:tc>
        <w:tc>
          <w:tcPr>
            <w:tcW w:type="dxa" w:w="351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12_reporting.ipynb</w:t>
            </w:r>
          </w:p>
        </w:tc>
        <w:tc>
          <w:tcPr>
            <w:tcW w:type="dxa" w:w="289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Automated</w:t>
            </w:r>
          </w:p>
        </w:tc>
      </w:tr>
    </w:tbl>
    <w:p/>
    <w:p>
      <w:pPr>
        <w:pStyle w:val="Heading2"/>
        <w:spacing w:before="200" w:after="120"/>
      </w:pPr>
      <w:r>
        <w:rPr>
          <w:b/>
          <w:color w:val="2E75B6"/>
        </w:rPr>
        <w:t>A.2  Folder Structure &amp; Data Handoffs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Folder</w:t>
            </w:r>
          </w:p>
        </w:tc>
        <w:tc>
          <w:tcPr>
            <w:tcW w:type="dxa" w:w="45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Contents</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Read by</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data/provided/</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Professor-provided CSVs — never modified</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2</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data/market/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yfinance price CSVs, date-stamped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10</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data/rag/</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RAG Screening Sheet Excel workbook</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outputs/scores/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master_dataset, ESG scores, financial metrics, biodiversity, EU regulation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Agents 9, 11, 13</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outputs/portfolio/</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Final portfolio, exclusion log, universe scores</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Agents 12, 13</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outputs/reports/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Charts (PNG), factsheet text, pipeline diagram</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Presentation / report</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outputs/rag/</w:t>
            </w:r>
          </w:p>
        </w:tc>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Greenwashing JSON extractions per company</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w:t>
            </w:r>
          </w:p>
        </w:tc>
      </w:tr>
    </w:tbl>
    <w:p/>
    <w:p>
      <w:pPr>
        <w:pStyle w:val="Heading2"/>
        <w:spacing w:before="200" w:after="120"/>
      </w:pPr>
      <w:r>
        <w:rPr>
          <w:b/>
          <w:color w:val="2E75B6"/>
        </w:rPr>
        <w:t>A.3  Composite Score Formula</w:t>
      </w:r>
    </w:p>
    <w:p>
      <w:pPr>
        <w:spacing w:after="120" w:before="0"/>
      </w:pPr>
      <w:r>
        <w:rPr>
          <w:b w:val="0"/>
          <w:i w:val="0"/>
          <w:color w:val="1A1A2E"/>
          <w:sz w:val="22"/>
        </w:rPr>
        <w:t>The final ranking in Agent 11 (Portfolio Construction) uses the following formula to produce a composite score on a 0–100 scale for each eligible company:</w:t>
      </w:r>
    </w:p>
    <w:p>
      <w:pPr>
        <w:spacing w:after="120" w:before="0"/>
      </w:pPr>
      <w:r>
        <w:rPr>
          <w:b/>
          <w:i w:val="0"/>
          <w:color w:val="1A1A2E"/>
          <w:sz w:val="22"/>
        </w:rPr>
        <w:t>Composite Score  =  (ESG_score × 0.60)  +  (Sharpe_score × 0.24)  +  (Biodiversity_score_inverted × 0.12)  +  (EU_eligibility_score × 0.04)</w:t>
      </w:r>
    </w:p>
    <w:p>
      <w:pPr>
        <w:spacing w:after="200" w:before="0"/>
      </w:pPr>
      <w:r>
        <w:rPr>
          <w:b w:val="0"/>
          <w:i w:val="0"/>
          <w:color w:val="1A1A2E"/>
          <w:sz w:val="22"/>
        </w:rPr>
        <w:t>The ESG score receives the dominant weight (60%) consistent with the fund's sustainability-first mandate. The financial component (40% total) is split across Sharpe ratio (24%), biodiversity risk (12%), and EU Taxonomy eligibility (4%). All components are normalised to 0–100 by percentile rank before weighting. The biodiversity score is inverted so that lower nature risk produces a higher score. If any input file is absent, its weight is redistributed proportionally to present components.</w:t>
      </w:r>
    </w:p>
    <w:p>
      <w:pPr>
        <w:pStyle w:val="Heading2"/>
        <w:spacing w:before="200" w:after="120"/>
      </w:pPr>
      <w:r>
        <w:rPr>
          <w:b/>
          <w:color w:val="2E75B6"/>
        </w:rPr>
        <w:t>A.4  Exclusion Logic (Applied in Order)</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Layer</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Agent</w:t>
            </w:r>
          </w:p>
        </w:tc>
        <w:tc>
          <w:tcPr>
            <w:tcW w:type="dxa" w:w="425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Rule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Companies excluded</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 — Subsidiary filter</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11</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Subsidiary of another universe company (prevents carbon double-counting)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4</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 — No ESG data</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11</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All three ESG pillars NaN — hallucination control policy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5</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 — Greenwashing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HIGH rating on 3 or more of 8 greenwashing test dimensions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TBD (post-RAG)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4 — Very High nature risk</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7</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ENCORE nature risk tier = Very High</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5 — ESG quality floor</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11</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Composite ESG score below 50th-percentile floor (floor = 50.1)</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6 — Volatility cap</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10</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return volatility &gt; 40%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0</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7 — Manual override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12</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Captain decision with documented rationale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 3 for Q&amp;A</w:t>
            </w:r>
          </w:p>
        </w:tc>
      </w:tr>
    </w:tbl>
    <w:p/>
    <w:p>
      <w:pPr>
        <w:spacing w:after="200" w:before="0"/>
      </w:pPr>
      <w:r>
        <w:rPr>
          <w:b w:val="0"/>
          <w:i/>
          <w:color w:val="707070"/>
          <w:sz w:val="22"/>
        </w:rPr>
        <w:t>Total exclusions in current run: 25 companies. Greenwashing exclusions are pending completion of the RAG Operator screening phase and may add 1–3 further removals.</w:t>
      </w:r>
    </w:p>
    <w:p>
      <w:pPr>
        <w:pStyle w:val="Heading2"/>
        <w:spacing w:before="200" w:after="120"/>
      </w:pPr>
      <w:r>
        <w:rPr>
          <w:b/>
          <w:color w:val="2E75B6"/>
        </w:rPr>
        <w:t>A.5  Agent Descriptions</w:t>
      </w:r>
    </w:p>
    <w:p>
      <w:pPr>
        <w:spacing w:before="200" w:after="60"/>
      </w:pPr>
      <w:r>
        <w:rPr>
          <w:b/>
          <w:color w:val="2E75B6"/>
          <w:sz w:val="22"/>
        </w:rPr>
        <w:t>Agent 1 — Mandate (01_mandate.ipynb)</w:t>
      </w:r>
    </w:p>
    <w:p>
      <w:pPr>
        <w:spacing w:after="60" w:before="0"/>
      </w:pPr>
      <w:r>
        <w:rPr>
          <w:b w:val="0"/>
          <w:i w:val="0"/>
          <w:color w:val="1A1A2E"/>
          <w:sz w:val="22"/>
        </w:rPr>
        <w:t>Defines the fund's investment thesis, screening philosophy, sector exclusion rules, and composite score weights. Outputs mandate.json, which is read by Agents 8, 11, and 12 to ensure all downstream decisions are anchored to the agreed mandate.</w:t>
      </w:r>
    </w:p>
    <w:p>
      <w:pPr>
        <w:spacing w:after="160" w:before="0"/>
      </w:pPr>
      <w:r>
        <w:rPr>
          <w:b w:val="0"/>
          <w:i/>
          <w:color w:val="707070"/>
          <w:sz w:val="22"/>
        </w:rPr>
        <w:t>Key outputs: outputs/scores/mandate.json</w:t>
      </w:r>
    </w:p>
    <w:p>
      <w:pPr>
        <w:spacing w:before="200" w:after="60"/>
      </w:pPr>
      <w:r>
        <w:rPr>
          <w:b/>
          <w:color w:val="2E75B6"/>
          <w:sz w:val="22"/>
        </w:rPr>
        <w:t>Agent 2 — Data Ingestion (02_data_ingestion.ipynb)</w:t>
      </w:r>
    </w:p>
    <w:p>
      <w:pPr>
        <w:spacing w:after="60" w:before="0"/>
      </w:pPr>
      <w:r>
        <w:rPr>
          <w:b w:val="0"/>
          <w:i w:val="0"/>
          <w:color w:val="1A1A2E"/>
          <w:sz w:val="22"/>
        </w:rPr>
        <w:t>Loads all four professor-provided CSV files and merges them on the Bloomberg company identifier (idBbCompany). Downloads five years of adjusted closing prices via yfinance for all 167 companies and caches them with a date stamp. Creates a ticker bridge column (yf_ticker) mapping Bloomberg tickers to Yahoo Finance exchange-qualified tickers. Produces the master dataset consumed by all downstream agents.</w:t>
      </w:r>
    </w:p>
    <w:p>
      <w:pPr>
        <w:spacing w:after="160" w:before="0"/>
      </w:pPr>
      <w:r>
        <w:rPr>
          <w:b w:val="0"/>
          <w:i/>
          <w:color w:val="707070"/>
          <w:sz w:val="22"/>
        </w:rPr>
        <w:t>Key outputs: outputs/scores/master_dataset_2026-05-12.csv</w:t>
        <w:br/>
        <w:t>data/market/prices_2026-05-12.csv</w:t>
      </w:r>
    </w:p>
    <w:p>
      <w:pPr>
        <w:spacing w:before="200" w:after="60"/>
      </w:pPr>
      <w:r>
        <w:rPr>
          <w:b/>
          <w:color w:val="2E75B6"/>
          <w:sz w:val="22"/>
        </w:rPr>
        <w:t>Agent 3 — Data Quality (03_data_quality.ipynb)</w:t>
      </w:r>
    </w:p>
    <w:p>
      <w:pPr>
        <w:spacing w:after="60" w:before="0"/>
      </w:pPr>
      <w:r>
        <w:rPr>
          <w:b w:val="0"/>
          <w:i w:val="0"/>
          <w:color w:val="1A1A2E"/>
          <w:sz w:val="22"/>
        </w:rPr>
        <w:t>Audits the master dataset before analysis. Calculates coverage rates for every column, flags columns below 50% coverage, runs IQR-based outlier detection on numerical ESG variables, and notes the EU Taxonomy eligibility vs alignment distinction. Produces a data dictionary classifying each variable by extraction method.</w:t>
      </w:r>
    </w:p>
    <w:p>
      <w:pPr>
        <w:spacing w:after="160" w:before="0"/>
      </w:pPr>
      <w:r>
        <w:rPr>
          <w:b w:val="0"/>
          <w:i/>
          <w:color w:val="707070"/>
          <w:sz w:val="22"/>
        </w:rPr>
        <w:t>Key outputs: outputs/scores/data_dictionary_*.csv</w:t>
        <w:br/>
        <w:t>outputs/scores/outliers_*.csv</w:t>
      </w:r>
    </w:p>
    <w:p>
      <w:pPr>
        <w:spacing w:before="200" w:after="60"/>
      </w:pPr>
      <w:r>
        <w:rPr>
          <w:b/>
          <w:color w:val="2E75B6"/>
          <w:sz w:val="22"/>
        </w:rPr>
        <w:t>Agent 10 — Financial Analysis (04_financial_analysis.ipynb)</w:t>
      </w:r>
    </w:p>
    <w:p>
      <w:pPr>
        <w:spacing w:after="60" w:before="0"/>
      </w:pPr>
      <w:r>
        <w:rPr>
          <w:b w:val="0"/>
          <w:i w:val="0"/>
          <w:color w:val="1A1A2E"/>
          <w:sz w:val="22"/>
        </w:rPr>
        <w:t>Calculates five-year price-based risk/return metrics for all 167 companies: annualised return, annualised volatility, Sharpe ratio (risk-free rate = 0%), and maximum drawdown. Applies the first hard filter — the 40% volatility cap. No companies were excluded by this cap in the current run. Also fetches quality metrics (ROE, debt-to-equity, revenue growth) via the yfinance .info() endpoint. Beta calculation against the STOXX 600 currently returns NaN due to a benchmark ticker download failure; the volatility cap provides primary risk control.</w:t>
      </w:r>
    </w:p>
    <w:p>
      <w:pPr>
        <w:spacing w:after="160" w:before="0"/>
      </w:pPr>
      <w:r>
        <w:rPr>
          <w:b w:val="0"/>
          <w:i/>
          <w:color w:val="707070"/>
          <w:sz w:val="22"/>
        </w:rPr>
        <w:t>Key outputs: outputs/scores/financial_metrics_2026-05-12.csv</w:t>
        <w:br/>
        <w:t>outputs/portfolio/financial_exclusions_2026-05-12.csv</w:t>
      </w:r>
    </w:p>
    <w:p>
      <w:pPr>
        <w:spacing w:before="200" w:after="60"/>
      </w:pPr>
      <w:r>
        <w:rPr>
          <w:b/>
          <w:color w:val="2E75B6"/>
          <w:sz w:val="22"/>
        </w:rPr>
        <w:t>Agents 5 &amp; 6 — ESG + Climate (05_esg_climate.ipynb)</w:t>
      </w:r>
    </w:p>
    <w:p>
      <w:pPr>
        <w:spacing w:after="60" w:before="0"/>
      </w:pPr>
      <w:r>
        <w:rPr>
          <w:b w:val="0"/>
          <w:i w:val="0"/>
          <w:color w:val="1A1A2E"/>
          <w:sz w:val="22"/>
        </w:rPr>
        <w:t>Builds Environmental, Social, and Governance scores (0–100) for all 167 companies using SASB sector-adjusted materiality weights. Each ESG variable is min-max normalised within its pillar, then combined using sector-specific pillar weights (e.g. Energy: E=55%, Technology: G=40%). Runs ESG triangulation across two independent sources (Bloomberg Disclosure Score and Sustainalytics Risk Rating) using a 2-of-2 rule. Merges carbon intensity data from the master dataset. Five companies with all pillars NaN are flagged LOW_DATA and excluded.</w:t>
      </w:r>
    </w:p>
    <w:p>
      <w:pPr>
        <w:spacing w:after="160" w:before="0"/>
      </w:pPr>
      <w:r>
        <w:rPr>
          <w:b w:val="0"/>
          <w:i/>
          <w:color w:val="707070"/>
          <w:sz w:val="22"/>
        </w:rPr>
        <w:t>Key outputs: outputs/scores/esg_scores_2026-05-14.csv</w:t>
      </w:r>
    </w:p>
    <w:p>
      <w:pPr>
        <w:spacing w:before="200" w:after="60"/>
      </w:pPr>
      <w:r>
        <w:rPr>
          <w:b/>
          <w:color w:val="2E75B6"/>
          <w:sz w:val="22"/>
        </w:rPr>
        <w:t>Agent 7 — Biodiversity (07_biodiversity.ipynb)</w:t>
      </w:r>
    </w:p>
    <w:p>
      <w:pPr>
        <w:spacing w:after="60" w:before="0"/>
      </w:pPr>
      <w:r>
        <w:rPr>
          <w:b w:val="0"/>
          <w:i w:val="0"/>
          <w:color w:val="1A1A2E"/>
          <w:sz w:val="22"/>
        </w:rPr>
        <w:t>Assigns a nature-risk score and tier (Low / Medium / High) to each company using two sector-level proxy frameworks: ENCORE (ecosystem service dependency, 0–5 scale) and WRI Aqueduct (water stress exposure, 0–5 scale). Scores are combined into a composite biodiversity_score (0–100). Very High nature risk is a hard exclusion trigger. All 167 companies fall in the Low or Medium tiers in the current universe.</w:t>
      </w:r>
    </w:p>
    <w:p>
      <w:pPr>
        <w:spacing w:after="160" w:before="0"/>
      </w:pPr>
      <w:r>
        <w:rPr>
          <w:b w:val="0"/>
          <w:i/>
          <w:color w:val="707070"/>
          <w:sz w:val="22"/>
        </w:rPr>
        <w:t>Key outputs: outputs/scores/biodiversity_scores_2026-05-14.csv</w:t>
      </w:r>
    </w:p>
    <w:p>
      <w:pPr>
        <w:spacing w:before="200" w:after="60"/>
      </w:pPr>
      <w:r>
        <w:rPr>
          <w:b/>
          <w:color w:val="2E75B6"/>
          <w:sz w:val="22"/>
        </w:rPr>
        <w:t>Agent 8 — EU Regulation (08_eu_regulation.ipynb)</w:t>
      </w:r>
    </w:p>
    <w:p>
      <w:pPr>
        <w:spacing w:after="60" w:before="0"/>
      </w:pPr>
      <w:r>
        <w:rPr>
          <w:b w:val="0"/>
          <w:i w:val="0"/>
          <w:color w:val="1A1A2E"/>
          <w:sz w:val="22"/>
        </w:rPr>
        <w:t>Applies EU regulatory screening: EU Taxonomy eligibility vs alignment analysis, SFDR Article 8 fund-level compliance documentation, and PAI indicator coverage table. Critical design rule: taxonomy eligibility is never conflated with reported alignment. 73 of 167 companies have eligibility data; only 8 of 167 have alignment data.</w:t>
      </w:r>
    </w:p>
    <w:p>
      <w:pPr>
        <w:spacing w:after="160" w:before="0"/>
      </w:pPr>
      <w:r>
        <w:rPr>
          <w:b w:val="0"/>
          <w:i/>
          <w:color w:val="707070"/>
          <w:sz w:val="22"/>
        </w:rPr>
        <w:t>Key outputs: outputs/scores/eu_regulation_2026-05-14.csv</w:t>
        <w:br/>
        <w:t>outputs/scores/pai_indicators_2026-05-14.csv</w:t>
        <w:br/>
        <w:t>outputs/scores/sfdr_compliance_2026-05-14.csv</w:t>
      </w:r>
    </w:p>
    <w:p>
      <w:pPr>
        <w:spacing w:before="200" w:after="60"/>
      </w:pPr>
      <w:r>
        <w:rPr>
          <w:b/>
          <w:color w:val="2E75B6"/>
          <w:sz w:val="22"/>
        </w:rPr>
        <w:t>Agent 4 — Document Intelligence (06_document_intelligence.ipynb)</w:t>
      </w:r>
    </w:p>
    <w:p>
      <w:pPr>
        <w:spacing w:after="60" w:before="0"/>
      </w:pPr>
      <w:r>
        <w:rPr>
          <w:b w:val="0"/>
          <w:i w:val="0"/>
          <w:color w:val="1A1A2E"/>
          <w:sz w:val="22"/>
        </w:rPr>
        <w:t>Imports and structures ESG data extracted from PDF sustainability reports by the RAG Operator using Claude Projects. Acts as the bridge between manual PDF analysis and the automated pipeline. Claude Projects operates as a closed-domain retrieval system: it answers only from uploaded PDFs, preventing hallucination and ensuring every claim is traceable to a specific page.</w:t>
      </w:r>
    </w:p>
    <w:p>
      <w:pPr>
        <w:spacing w:after="160" w:before="0"/>
      </w:pPr>
      <w:r>
        <w:rPr>
          <w:b w:val="0"/>
          <w:i/>
          <w:color w:val="707070"/>
          <w:sz w:val="22"/>
        </w:rPr>
        <w:t>Key outputs: outputs/scores/rag_extractions_*.csv</w:t>
      </w:r>
    </w:p>
    <w:p>
      <w:pPr>
        <w:spacing w:before="200" w:after="60"/>
      </w:pPr>
      <w:r>
        <w:rPr>
          <w:b/>
          <w:color w:val="2E75B6"/>
          <w:sz w:val="22"/>
        </w:rPr>
        <w:t>Agent 9 — Greenwashing (09_greenwashing.ipynb)</w:t>
      </w:r>
    </w:p>
    <w:p>
      <w:pPr>
        <w:spacing w:after="60" w:before="0"/>
      </w:pPr>
      <w:r>
        <w:rPr>
          <w:b w:val="0"/>
          <w:i w:val="0"/>
          <w:color w:val="1A1A2E"/>
          <w:sz w:val="22"/>
        </w:rPr>
        <w:t>Applies the 8-dimension greenwashing test to all portfolio holdings. Reads the RAG Operator's completed Excel workbook, converts entries to structured JSON, and scores each company on: Specificity, Metric, Baseline, Target, Time Horizon, Scope, External Validation, and Behavioural Consistency. Companies with HIGH on 3+ dimensions are excluded; HIGH on exactly 2 triggers watchlist status. Verification protocol: 30% of all extractions are manually verified; 100% of exclusion-driving findings are independently confirmed.</w:t>
      </w:r>
    </w:p>
    <w:p>
      <w:pPr>
        <w:spacing w:after="160" w:before="0"/>
      </w:pPr>
      <w:r>
        <w:rPr>
          <w:b w:val="0"/>
          <w:i/>
          <w:color w:val="707070"/>
          <w:sz w:val="22"/>
        </w:rPr>
        <w:t>Key outputs: outputs/scores/greenwashing_scores_*.csv (pending RAG Operator)</w:t>
      </w:r>
    </w:p>
    <w:p>
      <w:pPr>
        <w:spacing w:before="200" w:after="60"/>
      </w:pPr>
      <w:r>
        <w:rPr>
          <w:b/>
          <w:color w:val="2E75B6"/>
          <w:sz w:val="22"/>
        </w:rPr>
        <w:t>Agent 11 — Portfolio Construction (10_portfolio_construction.ipynb)</w:t>
      </w:r>
    </w:p>
    <w:p>
      <w:pPr>
        <w:spacing w:after="60" w:before="0"/>
      </w:pPr>
      <w:r>
        <w:rPr>
          <w:b w:val="0"/>
          <w:i w:val="0"/>
          <w:color w:val="1A1A2E"/>
          <w:sz w:val="22"/>
        </w:rPr>
        <w:t>The convergence point of the pipeline. Merges all five upstream score files, applies all exclusion rules in sequence, ranks companies by composite score, and selects the final 20 holdings. Weights are equal-weighted across the qualifying universe (1/N), capped at 10% per holding, with excess redistributed proportionally. Designed for graceful degradation: if any upstream file is absent the notebook warns and continues with available data.</w:t>
      </w:r>
    </w:p>
    <w:p>
      <w:pPr>
        <w:spacing w:after="160" w:before="0"/>
      </w:pPr>
      <w:r>
        <w:rPr>
          <w:b w:val="0"/>
          <w:i/>
          <w:color w:val="707070"/>
          <w:sz w:val="22"/>
        </w:rPr>
        <w:t>Key outputs: outputs/portfolio/final_portfolio_2026-05-14.csv</w:t>
        <w:br/>
        <w:t>outputs/portfolio/universe_scores_2026-05-14.csv</w:t>
        <w:br/>
        <w:t>outputs/portfolio/exclusions.csv</w:t>
      </w:r>
    </w:p>
    <w:p>
      <w:pPr>
        <w:spacing w:before="200" w:after="60"/>
      </w:pPr>
      <w:r>
        <w:rPr>
          <w:b/>
          <w:color w:val="2E75B6"/>
          <w:sz w:val="22"/>
        </w:rPr>
        <w:t>Agent 12 — Human Review (11_human_review.ipynb)</w:t>
      </w:r>
    </w:p>
    <w:p>
      <w:pPr>
        <w:spacing w:after="60" w:before="0"/>
      </w:pPr>
      <w:r>
        <w:rPr>
          <w:b w:val="0"/>
          <w:i w:val="0"/>
          <w:color w:val="1A1A2E"/>
          <w:sz w:val="22"/>
        </w:rPr>
        <w:t>Provides a structured interface for the investment team to document manual override decisions. Every override requires: ticker, action (include/exclude), original model decision, override decision, written rationale (minimum two sentences), and decision-maker name. A minimum of three documented overrides is required for Q&amp;A defence. Also generates the final AI Use Statement.</w:t>
      </w:r>
    </w:p>
    <w:p>
      <w:pPr>
        <w:spacing w:after="160" w:before="0"/>
      </w:pPr>
      <w:r>
        <w:rPr>
          <w:b w:val="0"/>
          <w:i/>
          <w:color w:val="707070"/>
          <w:sz w:val="22"/>
        </w:rPr>
        <w:t>Key outputs: outputs/portfolio/human_overrides_*.csv</w:t>
      </w:r>
    </w:p>
    <w:p>
      <w:pPr>
        <w:spacing w:before="200" w:after="60"/>
      </w:pPr>
      <w:r>
        <w:rPr>
          <w:b/>
          <w:color w:val="2E75B6"/>
          <w:sz w:val="22"/>
        </w:rPr>
        <w:t>Agent 13 — Reporting (12_reporting.ipynb)</w:t>
      </w:r>
    </w:p>
    <w:p>
      <w:pPr>
        <w:spacing w:after="60" w:before="0"/>
      </w:pPr>
      <w:r>
        <w:rPr>
          <w:b w:val="0"/>
          <w:i w:val="0"/>
          <w:color w:val="1A1A2E"/>
          <w:sz w:val="22"/>
        </w:rPr>
        <w:t>Generates all presentation-ready charts from the final portfolio: (1) horizontal bar chart of portfolio weights by company; (2) ESG pillar comparison — portfolio vs full universe; (3) sector allocation pie chart. Prints the portfolio factsheet summary (ESG 70.8/100, Sharpe 0.776, WACI 431.6 tCO₂e/€m rev, 7 sectors, 20 holdings). All outputs are PNG files for direct insertion into the presentation deck.</w:t>
      </w:r>
    </w:p>
    <w:p>
      <w:pPr>
        <w:spacing w:after="160" w:before="0"/>
      </w:pPr>
      <w:r>
        <w:rPr>
          <w:b w:val="0"/>
          <w:i/>
          <w:color w:val="707070"/>
          <w:sz w:val="22"/>
        </w:rPr>
        <w:t>Key outputs: outputs/reports/portfolio_weights.png</w:t>
        <w:br/>
        <w:t>outputs/reports/esg_comparison.png</w:t>
        <w:br/>
        <w:t>outputs/reports/sector_allocation.png</w:t>
      </w:r>
    </w:p>
    <w:p>
      <w:pPr>
        <w:pStyle w:val="Heading2"/>
        <w:spacing w:before="200" w:after="120"/>
      </w:pPr>
      <w:r>
        <w:rPr>
          <w:b/>
          <w:color w:val="2E75B6"/>
        </w:rPr>
        <w:t>A.6  Hallucination Controls &amp; Data Integrity</w:t>
      </w:r>
    </w:p>
    <w:tbl>
      <w:tblPr>
        <w:tblStyle w:val="TableGrid"/>
        <w:tblW w:type="auto" w:w="0"/>
        <w:tblLook w:firstColumn="1" w:firstRow="1" w:lastColumn="0" w:lastRow="0" w:noHBand="0" w:noVBand="1" w:val="04A0"/>
      </w:tblPr>
      <w:tblGrid>
        <w:gridCol w:w="4703"/>
        <w:gridCol w:w="4703"/>
      </w:tblGrid>
      <w:tr>
        <w:tc>
          <w:tcPr>
            <w:tcW w:type="dxa" w:w="595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Control</w:t>
            </w:r>
          </w:p>
        </w:tc>
        <w:tc>
          <w:tcPr>
            <w:tcW w:type="dxa" w:w="368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Where Applied</w:t>
            </w:r>
          </w:p>
        </w:tc>
      </w:tr>
      <w:tr>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Professor CSVs never modified — all outputs written to outputs/ folder</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2 onwards</w:t>
            </w:r>
          </w:p>
        </w:tc>
      </w:tr>
      <w:tr>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MISSING label used when data is absent — AI never invents a figure</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9 / RAG Operator</w:t>
            </w:r>
          </w:p>
        </w:tc>
      </w:tr>
      <w:tr>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30% random sample of RAG extractions manually verified against source PDF with page reference</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 9 / RAG Operator</w:t>
            </w:r>
          </w:p>
        </w:tc>
      </w:tr>
      <w:tr>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100% of watchlist and exclusion-driving extractions independently verified before flag applied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9 / RAG Operator</w:t>
            </w:r>
          </w:p>
        </w:tc>
      </w:tr>
      <w:tr>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 ratings treated as indicators, not objective truth; triangulation required across 2 sources</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Agents 5/6, 11</w:t>
            </w:r>
          </w:p>
        </w:tc>
      </w:tr>
      <w:tr>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Taxonomy eligibility never conflated with reported alignment — explicitly separated in code and report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 8</w:t>
            </w:r>
          </w:p>
        </w:tc>
      </w:tr>
      <w:tr>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All data vintage-tagged with download date on filename and in metadata column</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All agents</w:t>
            </w:r>
          </w:p>
        </w:tc>
      </w:tr>
      <w:tr>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Sustainalytics scores marked NaN where unavailable — not estimated or imputed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Agents 5/6</w:t>
            </w:r>
          </w:p>
        </w:tc>
      </w:tr>
    </w:tbl>
    <w:p/>
    <w:p>
      <w:r>
        <w:br w:type="page"/>
      </w:r>
    </w:p>
    <w:p>
      <w:pPr>
        <w:pStyle w:val="Heading1"/>
        <w:spacing w:before="360" w:after="120"/>
      </w:pPr>
      <w:r>
        <w:rPr>
          <w:b/>
          <w:color w:val="1F497D"/>
        </w:rPr>
        <w:t>Section 3: Universe Construction &amp; Data Sources</w:t>
      </w:r>
    </w:p>
    <w:p>
      <w:pPr>
        <w:spacing w:after="200" w:before="0"/>
      </w:pPr>
      <w:r>
        <w:rPr>
          <w:b w:val="0"/>
          <w:i w:val="0"/>
          <w:color w:val="1A1A2E"/>
          <w:sz w:val="22"/>
        </w:rPr>
        <w:t>This section describes how the investable universe was defined, the data sources used to characterise it, and the data engineering steps required to merge heterogeneous inputs into a single analytical master dataset.</w:t>
      </w:r>
    </w:p>
    <w:p>
      <w:pPr>
        <w:pStyle w:val="Heading2"/>
        <w:spacing w:before="200" w:after="120"/>
      </w:pPr>
      <w:r>
        <w:rPr>
          <w:b/>
          <w:color w:val="2E75B6"/>
        </w:rPr>
        <w:t>3.1  Universe Definition</w:t>
      </w:r>
    </w:p>
    <w:p>
      <w:pPr>
        <w:spacing w:after="120" w:before="0"/>
      </w:pPr>
      <w:r>
        <w:rPr>
          <w:b w:val="0"/>
          <w:i w:val="0"/>
          <w:color w:val="1A1A2E"/>
          <w:sz w:val="22"/>
        </w:rPr>
        <w:t>The investable universe is prescribed by the course assignment as the top 170 constituents of the STOXX Europe 600 index ranked by 10-year total return. This subset was provided as a pre-screened dataset by the course instructor. After data cleaning and merging, 167 companies were retained; three companies could not be matched across all four source files and were dropped before analysis began.</w:t>
      </w:r>
    </w:p>
    <w:p>
      <w:pPr>
        <w:spacing w:after="120" w:before="0"/>
      </w:pPr>
      <w:r>
        <w:rPr>
          <w:b w:val="0"/>
          <w:i w:val="0"/>
          <w:color w:val="1A1A2E"/>
          <w:sz w:val="22"/>
        </w:rPr>
        <w:t>The universe spans eight BICS Level-1 sectors — Technology, Financials, Industrials, Consumer Discretionary, Materials, Energy, Health Care, and Real Estate — and covers twelve Western European countries, with Denmark, Sweden, the Netherlands, and Germany most heavily represented. All companies carry Bloomberg exchange code GR, consistent with their primary European listing.</w:t>
      </w:r>
    </w:p>
    <w:p>
      <w:pPr>
        <w:spacing w:after="200" w:before="0"/>
      </w:pPr>
      <w:r>
        <w:rPr>
          <w:b w:val="0"/>
          <w:i/>
          <w:color w:val="707070"/>
          <w:sz w:val="22"/>
        </w:rPr>
        <w:t>Known bias disclosure: selecting the top 170 STOXX Europe 600 constituents by 10-year historical return introduces two structural biases. Survivorship bias arises because only companies that survived and remained in the index are included, systematically overstating historical returns. Look-ahead bias arises because using 10-year backward return to define the universe relies on information unavailable at the start of the measurement period. Both biases are disclosed here and in the limitations section. In a live mandate the full STOXX Europe 600 would serve as the starting universe.</w:t>
      </w:r>
    </w:p>
    <w:p>
      <w:pPr>
        <w:pStyle w:val="Heading2"/>
        <w:spacing w:before="200" w:after="120"/>
      </w:pPr>
      <w:r>
        <w:rPr>
          <w:b/>
          <w:color w:val="2E75B6"/>
        </w:rPr>
        <w:t>3.2  Data Sources</w:t>
      </w:r>
    </w:p>
    <w:p>
      <w:pPr>
        <w:spacing w:after="120" w:before="0"/>
      </w:pPr>
      <w:r>
        <w:rPr>
          <w:b w:val="0"/>
          <w:i w:val="0"/>
          <w:color w:val="1A1A2E"/>
          <w:sz w:val="22"/>
        </w:rPr>
        <w:t>Four course-provided datasets and one market data feed form the foundation of the pipeline. All four CSV files are loaded read-only; the pipeline never modifies them.</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File</w:t>
            </w:r>
          </w:p>
        </w:tc>
        <w:tc>
          <w:tcPr>
            <w:tcW w:type="dxa" w:w="425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Contents</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Rows</w:t>
            </w:r>
          </w:p>
        </w:tc>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Key identifier</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equityBicsV2.csv</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Company identifiers: name, ticker, ISIN, country, BICS sector hierarchy (Levels 1–4)</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167</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esgEnvironmentalSocialConsolidatedV4.csv</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Quantitative Environmental and Social metrics: Scope 1–3 GHG emissions, water usage, waste generation, workforce safety, diversity ratios</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167</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esgGovernanceConsolidatedV4.csv</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Governance metrics: board gender diversity, executive compensation ratios, audit committee independence, anti-corruption policies</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167</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legalEntityEuTaxonomy.csv</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EU Taxonomy eligibility and estimated alignment percentages, DNSH indicator estimates (Objectives 1–4), green revenue proxy</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167</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idBbCompany</w:t>
            </w:r>
          </w:p>
        </w:tc>
      </w:tr>
      <w:tr>
        <w:tc>
          <w:tcPr>
            <w:tcW w:type="dxa" w:w="255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yfinance (API)</w:t>
            </w:r>
          </w:p>
        </w:tc>
        <w:tc>
          <w:tcPr>
            <w:tcW w:type="dxa" w:w="425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Daily adjusted closing prices, 1 January 2020 – 1 January 2025. Also provides ROE, debt-to-equity, revenue growth via .info() endpoint.</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166/167</w:t>
            </w:r>
          </w:p>
        </w:tc>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Yahoo Finance ticker</w:t>
            </w:r>
          </w:p>
        </w:tc>
      </w:tr>
    </w:tbl>
    <w:p/>
    <w:p>
      <w:pPr>
        <w:pStyle w:val="Heading2"/>
        <w:spacing w:before="200" w:after="120"/>
      </w:pPr>
      <w:r>
        <w:rPr>
          <w:b/>
          <w:color w:val="2E75B6"/>
        </w:rPr>
        <w:t>3.3  Data Integration &amp; Ticker Bridge</w:t>
      </w:r>
    </w:p>
    <w:p>
      <w:pPr>
        <w:spacing w:after="120" w:before="0"/>
      </w:pPr>
      <w:r>
        <w:rPr>
          <w:b w:val="0"/>
          <w:i w:val="0"/>
          <w:color w:val="1A1A2E"/>
          <w:sz w:val="22"/>
        </w:rPr>
        <w:t>A critical data engineering challenge is that the course-provided files use Bloomberg tickers (e.g. ASME for ASML Holding), while the yfinance market data API requires exchange-qualified Yahoo Finance tickers (e.g. ASML.AS). These ticker formats do not share a common syntax, so a manual mapping column (yf_ticker) was added to the master dataset during the data ingestion step. All downstream agents load this bridge column to ensure ESG scores (Bloomberg tickers) and financial metrics (Yahoo Finance tickers) can be joined without row loss.</w:t>
      </w:r>
    </w:p>
    <w:p>
      <w:pPr>
        <w:spacing w:after="200" w:before="0"/>
      </w:pPr>
      <w:r>
        <w:rPr>
          <w:b w:val="0"/>
          <w:i w:val="0"/>
          <w:color w:val="1A1A2E"/>
          <w:sz w:val="22"/>
        </w:rPr>
        <w:t>The four CSV files are merged sequentially on idBbCompany — the Bloomberg Global Company ID — using a left join anchored on equityBicsV2.csv. The result is a single master dataset of 167 rows × 677 columns, vintaged 2026-05-12. All agent output files trace their lineage back to this master dataset.</w:t>
      </w:r>
    </w:p>
    <w:p>
      <w:pPr>
        <w:pStyle w:val="Heading2"/>
        <w:spacing w:before="200" w:after="120"/>
      </w:pPr>
      <w:r>
        <w:rPr>
          <w:b/>
          <w:color w:val="2E75B6"/>
        </w:rPr>
        <w:t>3.4  Market Data</w:t>
      </w:r>
    </w:p>
    <w:p>
      <w:pPr>
        <w:spacing w:after="120" w:before="0"/>
      </w:pPr>
      <w:r>
        <w:rPr>
          <w:b w:val="0"/>
          <w:i w:val="0"/>
          <w:color w:val="1A1A2E"/>
          <w:sz w:val="22"/>
        </w:rPr>
        <w:t>Historical price data was downloaded via yfinance for all 167 Bloomberg tickers mapped to their Yahoo Finance equivalents. The download window is 1 January 2020 to 1 January 2025, providing a five-year observation period that captures two distinct market regimes: the COVID-19 drawdown and recovery (2020), the 2022 rate-rising environment, and the subsequent growth rebound (2023–2024). Prices are adjusted for dividends and splits.</w:t>
      </w:r>
    </w:p>
    <w:p>
      <w:pPr>
        <w:spacing w:after="120" w:before="0"/>
      </w:pPr>
      <w:r>
        <w:rPr>
          <w:b w:val="0"/>
          <w:i w:val="0"/>
          <w:color w:val="1A1A2E"/>
          <w:sz w:val="22"/>
        </w:rPr>
        <w:t>166 of 167 companies received price data. Sydbank A/S (Bloomberg ticker TM2) has no corresponding Yahoo Finance ticker and was excluded from the financial metrics calculation. Price data is cached locally as prices_2026-05-12.csv with a date stamp to ensure reproducibility and avoid repeated API calls.</w:t>
      </w:r>
    </w:p>
    <w:p>
      <w:pPr>
        <w:spacing w:after="120" w:before="0"/>
      </w:pPr>
      <w:r>
        <w:rPr>
          <w:b w:val="0"/>
          <w:i w:val="0"/>
          <w:color w:val="1A1A2E"/>
          <w:sz w:val="22"/>
        </w:rPr>
        <w:t>Note on GRANOLAS: of the seven GRANOLAS stocks (GSK, Roche, Nestlé, Novo Nordisk, L'Oréal, LVMH, SAP, ASML, AstraZeneca, Novartis, Sanofi), only ASML Holding (ASME) appears in the universe. The remaining GRANOLAS are STOXX Europe 600 members but their 10-year returns ranked outside the top 170 in the course dataset. AstraZeneca and Novartis are present in the universe but ranked below the composite score threshold required for final portfolio selection.</w:t>
      </w:r>
    </w:p>
    <w:tbl>
      <w:tblPr>
        <w:tblStyle w:val="TableGrid"/>
        <w:tblW w:type="auto" w:w="0"/>
        <w:tblLook w:firstColumn="1" w:firstRow="1" w:lastColumn="0" w:lastRow="0" w:noHBand="0" w:noVBand="1" w:val="04A0"/>
      </w:tblPr>
      <w:tblGrid>
        <w:gridCol w:w="4703"/>
        <w:gridCol w:w="4703"/>
      </w:tblGrid>
      <w:tr>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56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Universe size (post merge)</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167 companies</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Companies with price data</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166 / 167 (Sydbank excluded)</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Price observation window</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2020-01-01 to 2025-01-01 (5 years)</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Price data vintage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2026-05-12</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ESG / biodiversity / EU data vintage</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2026-05-14</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Master dataset dimensions</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167 rows × 677 columns</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BICS Level-1 sectors covered</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8</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Countries represented</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 Western European</w:t>
            </w:r>
          </w:p>
        </w:tc>
      </w:tr>
    </w:tbl>
    <w:p/>
    <w:p>
      <w:r>
        <w:br w:type="page"/>
      </w:r>
    </w:p>
    <w:p>
      <w:pPr>
        <w:pStyle w:val="Heading1"/>
        <w:spacing w:before="360" w:after="120"/>
      </w:pPr>
      <w:r>
        <w:rPr>
          <w:b/>
          <w:color w:val="1F497D"/>
        </w:rPr>
        <w:t>Section 4: Quantitative Financial Screening</w:t>
      </w:r>
    </w:p>
    <w:p>
      <w:pPr>
        <w:spacing w:after="200" w:before="0"/>
      </w:pPr>
      <w:r>
        <w:rPr>
          <w:b w:val="0"/>
          <w:i w:val="0"/>
          <w:color w:val="1A1A2E"/>
          <w:sz w:val="22"/>
        </w:rPr>
        <w:t>The pipeline applies two complementary financial screens before ESG analysis begins: a price-based efficiency screen that feeds directly into the composite ranking, and a fundamental quality framework used as a qualitative overlay during human review. Running financial screens first prevents ESG computation being wasted on companies that would be excluded for financial reasons regardless of their sustainability profile.</w:t>
      </w:r>
    </w:p>
    <w:p>
      <w:pPr>
        <w:pStyle w:val="Heading2"/>
        <w:spacing w:before="200" w:after="120"/>
      </w:pPr>
      <w:r>
        <w:rPr>
          <w:b/>
          <w:color w:val="2E75B6"/>
        </w:rPr>
        <w:t>4.1  Screen A — Price-Based Efficiency (Automated)</w:t>
      </w:r>
    </w:p>
    <w:p>
      <w:pPr>
        <w:spacing w:after="120" w:before="0"/>
      </w:pPr>
      <w:r>
        <w:rPr>
          <w:b w:val="0"/>
          <w:i w:val="0"/>
          <w:color w:val="1A1A2E"/>
          <w:sz w:val="22"/>
        </w:rPr>
        <w:t>The price-based screen uses the five-year adjusted price series (2020–2025) to compute four metrics for each company. These metrics collectively capture how efficiently the market has priced each stock relative to its risk over the observation window.</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Formula</w:t>
            </w:r>
          </w:p>
        </w:tc>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Interpretation</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return</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Geometric mean of daily returns, scaled to 252 trading days</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Total return per year; higher is better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volatility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Standard deviation of daily returns × √252</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Risk proxy; capped at 40% as hard exclusion filter</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Sharpe ratio</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(Annualised return − 0%) ÷ Annualised volatility</w:t>
            </w:r>
          </w:p>
        </w:tc>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Return per unit of risk; risk-free rate set to 0%</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Maximum drawdown</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Largest peak-to-trough decline over the 5-year window</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Downside risk severity; informational only</w:t>
            </w:r>
          </w:p>
        </w:tc>
      </w:tr>
    </w:tbl>
    <w:p/>
    <w:p>
      <w:pPr>
        <w:spacing w:after="120" w:before="0"/>
      </w:pPr>
      <w:r>
        <w:rPr>
          <w:b w:val="0"/>
          <w:i w:val="0"/>
          <w:color w:val="1A1A2E"/>
          <w:sz w:val="22"/>
        </w:rPr>
        <w:t>The volatility cap (&gt;40% annualised volatility) is the only hard filter in Screen A. No company in the current universe was excluded by this cap — all 164 companies with available price data fell below the 40% threshold. Three companies (missing Yahoo Finance tickers) could not be scored and received NaN financial metrics.</w:t>
      </w:r>
    </w:p>
    <w:p>
      <w:pPr>
        <w:spacing w:after="120" w:before="0"/>
      </w:pPr>
      <w:r>
        <w:rPr>
          <w:b w:val="0"/>
          <w:i w:val="0"/>
          <w:color w:val="1A1A2E"/>
          <w:sz w:val="22"/>
        </w:rPr>
        <w:t>The Sharpe ratio is normalised to a 0–100 scale by percentile rank within the 164 scored companies, producing the sharpe_score variable. This normalised score is the financial component that enters the composite ranking formula (weighted at 24% of the total composite). The raw Sharpe ratio is retained separately for the portfolio factsheet.</w:t>
      </w:r>
    </w:p>
    <w:tbl>
      <w:tblPr>
        <w:tblStyle w:val="TableGrid"/>
        <w:tblW w:type="auto" w:w="0"/>
        <w:tblLook w:firstColumn="1" w:firstRow="1" w:lastColumn="0" w:lastRow="0" w:noHBand="0" w:noVBand="1" w:val="04A0"/>
      </w:tblPr>
      <w:tblGrid>
        <w:gridCol w:w="4703"/>
        <w:gridCol w:w="4703"/>
      </w:tblGrid>
      <w:tr>
        <w:tc>
          <w:tcPr>
            <w:tcW w:type="dxa" w:w="39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566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Value</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Companies entering Screen A</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166 (all with Yahoo Finance price data)</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Companies successfully scored</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164 (3 missing yfinance data, 1 no YF ticker)</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Excluded by volatility cap (&gt;40%)</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Beta vs STOXX 600 benchmark</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All NaN — STOXX 600 ETF (EXW1.DE) download failed</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Weighted portfolio Sharpe ratio</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0.776 (final 20 holdings)</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Highest individual Sharpe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Games Workshop Group (G7W): 1.123</w:t>
            </w:r>
          </w:p>
        </w:tc>
      </w:tr>
      <w:tr>
        <w:tc>
          <w:tcPr>
            <w:tcW w:type="dxa" w:w="39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Lowest individual Sharpe (in portfolio)</w:t>
            </w:r>
          </w:p>
        </w:tc>
        <w:tc>
          <w:tcPr>
            <w:tcW w:type="dxa" w:w="566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Norsk Hydro (NOH1): 0.543</w:t>
            </w:r>
          </w:p>
        </w:tc>
      </w:tr>
    </w:tbl>
    <w:p/>
    <w:p>
      <w:pPr>
        <w:pStyle w:val="Heading2"/>
        <w:spacing w:before="200" w:after="120"/>
      </w:pPr>
      <w:r>
        <w:rPr>
          <w:b/>
          <w:color w:val="2E75B6"/>
        </w:rPr>
        <w:t>4.2  Screen B — Fundamental Quality Framework (Qualitative Overlay)</w:t>
      </w:r>
    </w:p>
    <w:p>
      <w:pPr>
        <w:spacing w:after="120" w:before="0"/>
      </w:pPr>
      <w:r>
        <w:rPr>
          <w:b w:val="0"/>
          <w:i w:val="0"/>
          <w:color w:val="1A1A2E"/>
          <w:sz w:val="22"/>
        </w:rPr>
        <w:t>The pipeline also incorporates a six-factor fundamental quality framework developed during the methodology design phase. This framework assesses accounting-based quality signals that are complementary to price-based metrics: while Screen A captures how the market has priced a stock historically, Screen B captures the underlying financial health of the business. In the current build, Screen B is applied as a qualitative overlay during human review (Agent 12) rather than as an automated exclusion filter.</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Factor</w:t>
            </w:r>
          </w:p>
        </w:tc>
        <w:tc>
          <w:tcPr>
            <w:tcW w:type="dxa" w:w="28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Metric</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c>
          <w:tcPr>
            <w:tcW w:type="dxa" w:w="4819"/>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What it tests</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M-01</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ROIC minus WACC Spread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Economic value creation — does the business earn above its cost of capital?</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Free Cash Flow Conversion</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22%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Earnings quality — how much reported profit converts to actual cash?</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M-03</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FCCR + Net Debt / EBITDA</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18%</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Financial resilience — can the company service its debt without stress?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Sloan Accruals Ratio</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Earnings manipulation signal — high accruals may indicate inflated earnings</w:t>
            </w:r>
          </w:p>
        </w:tc>
      </w:tr>
      <w:tr>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M-05</w:t>
            </w:r>
          </w:p>
        </w:tc>
        <w:tc>
          <w:tcPr>
            <w:tcW w:type="dxa" w:w="28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EBITDA Margin Coefficient of Variation</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w:t>
            </w:r>
          </w:p>
        </w:tc>
        <w:tc>
          <w:tcPr>
            <w:tcW w:type="dxa" w:w="4819"/>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Earnings stability — consistent margins signal a durable business model</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M-06</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Dividend Sustainability Index</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Capital return reliability — are dividends covered by cash flow and balance sheet?</w:t>
            </w:r>
          </w:p>
        </w:tc>
      </w:tr>
    </w:tbl>
    <w:p/>
    <w:p>
      <w:pPr>
        <w:spacing w:after="120" w:before="0"/>
      </w:pPr>
      <w:r>
        <w:rPr>
          <w:b w:val="0"/>
          <w:i w:val="0"/>
          <w:color w:val="1A1A2E"/>
          <w:sz w:val="22"/>
        </w:rPr>
        <w:t>The weights reflect the relative importance of each dimension within the fundamental quality assessment: value creation (M-01) and cash quality (M-02) together account for 44% of the score, reflecting their primacy as indicators of durable competitive advantage. Resilience (M-03) at 18% captures leverage risk. The remaining 38% covers quality-of-earnings and sustainability of returns.</w:t>
      </w:r>
    </w:p>
    <w:p>
      <w:pPr>
        <w:spacing w:after="200" w:before="0"/>
      </w:pPr>
      <w:r>
        <w:rPr>
          <w:b w:val="0"/>
          <w:i/>
          <w:color w:val="707070"/>
          <w:sz w:val="22"/>
        </w:rPr>
        <w:t>Note on data availability: the Bloomberg yfinance .info() endpoint provides ROE, debt-to-equity, and revenue growth for most companies, but ROIC, WACC, FCF conversion, and Sloan accruals require Bloomberg terminal or Compustat-quality data not available in the course dataset. These metrics are therefore applied judgementally during human review for the companies selected for Deep Review (10–12 holdings), rather than automated across all 167 companies.</w:t>
      </w:r>
    </w:p>
    <w:p>
      <w:pPr>
        <w:pStyle w:val="Heading2"/>
        <w:spacing w:before="200" w:after="120"/>
      </w:pPr>
      <w:r>
        <w:rPr>
          <w:b/>
          <w:color w:val="2E75B6"/>
        </w:rPr>
        <w:t>4.3  Interaction Between Screens A and B</w:t>
      </w:r>
    </w:p>
    <w:p>
      <w:pPr>
        <w:spacing w:after="120" w:before="0"/>
      </w:pPr>
      <w:r>
        <w:rPr>
          <w:b w:val="0"/>
          <w:i w:val="0"/>
          <w:color w:val="1A1A2E"/>
          <w:sz w:val="22"/>
        </w:rPr>
        <w:t>Screen A (automated) and Screen B (qualitative) are intentionally designed as complements rather than substitutes. Screen A asks: how has this stock been priced relative to its risk? Screen B asks: is the underlying business of high accounting quality? A company can score well on one and poorly on the other — for example, a business with superb fundamentals that has experienced short-term market re-rating (low Sharpe), or a business with strong recent price performance driven by multiple expansion rather than earnings growth (high Sharpe, weak FCF conversion).</w:t>
      </w:r>
    </w:p>
    <w:p>
      <w:pPr>
        <w:spacing w:after="200" w:before="0"/>
      </w:pPr>
      <w:r>
        <w:rPr>
          <w:b w:val="0"/>
          <w:i w:val="0"/>
          <w:color w:val="1A1A2E"/>
          <w:sz w:val="22"/>
        </w:rPr>
        <w:t>In the portfolio construction step, Screen A contributes directly to the composite score via sharpe_score. Screen B findings are incorporated through the human override mechanism: where a Deep Review company is flagged by Screen B as having weak fundamental quality, the investment team may apply a negative override regardless of composite ranking. All such overrides are logged with written rationale in the Human Review notebook.</w:t>
      </w:r>
    </w:p>
    <w:p>
      <w:pPr>
        <w:pStyle w:val="Heading2"/>
        <w:spacing w:before="200" w:after="120"/>
      </w:pPr>
      <w:r>
        <w:rPr>
          <w:b/>
          <w:color w:val="2E75B6"/>
        </w:rPr>
        <w:t>4.4  Financial Screen Results Summary</w:t>
      </w:r>
    </w:p>
    <w:tbl>
      <w:tblPr>
        <w:tblStyle w:val="TableGrid"/>
        <w:tblW w:type="auto" w:w="0"/>
        <w:tblLook w:firstColumn="1" w:firstRow="1" w:lastColumn="0" w:lastRow="0" w:noHBand="0" w:noVBand="1" w:val="04A0"/>
      </w:tblPr>
      <w:tblGrid>
        <w:gridCol w:w="4703"/>
        <w:gridCol w:w="4703"/>
      </w:tblGrid>
      <w:tr>
        <w:tc>
          <w:tcPr>
            <w:tcW w:type="dxa" w:w="453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Stage</w:t>
            </w:r>
          </w:p>
        </w:tc>
        <w:tc>
          <w:tcPr>
            <w:tcW w:type="dxa" w:w="51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Companies remaining</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Starting universe</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167</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price data retrieval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166 (Sydbank excluded — no YF ticker)</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financial metrics calculation</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164 (3 missing yfinance data)</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volatility cap (&gt;40%)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164 (0 removed)</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subsidiary deduplication</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160 (4 parent/sub pairs resolved)</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After ESG no-data exclusion</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155 (5 LOW_DATA companies removed)</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After ESG quality floor (score &lt; 50.1)</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139 (16 removed)</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Final investable universe for ranking</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9"/>
              </w:rPr>
              <w:t>139 companies</w:t>
            </w:r>
          </w:p>
        </w:tc>
      </w:tr>
      <w:tr>
        <w:tc>
          <w:tcPr>
            <w:tcW w:type="dxa" w:w="453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Final portfolio selected</w:t>
            </w:r>
          </w:p>
        </w:tc>
        <w:tc>
          <w:tcPr>
            <w:tcW w:type="dxa" w:w="51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9"/>
              </w:rPr>
              <w:t>20 holdings</w:t>
            </w:r>
          </w:p>
        </w:tc>
      </w:tr>
    </w:tbl>
    <w:p/>
    <w:p/>
    <w:p>
      <w:pPr>
        <w:spacing w:after="80" w:before="0"/>
      </w:pPr>
      <w:r>
        <w:rPr>
          <w:b w:val="0"/>
          <w:i/>
          <w:color w:val="707070"/>
          <w:sz w:val="22"/>
        </w:rPr>
        <w:t>Note: The financial screen contributes to the composite score ranking but is not the primary exclusion mechanism in the current build. The ESG quality floor (removing the bottom 16 companies) has greater numerical impact on universe size. This is consistent with the fund's sustainability-first mandate, in which ESG quality is the dominant ranking criterion (60% weight) and financial efficiency plays a supporting role (40%).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