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Company Exclusions — STOXX 600 Outperformers Universe</w:t>
      </w:r>
    </w:p>
    <w:p>
      <w:pPr>
        <w:jc w:val="left"/>
      </w:pPr>
      <w:r>
        <w:rPr>
          <w:b/>
        </w:rPr>
        <w:t>The 170 companies forming our investment universe are the top performers in the STOXX Europe 600 index on a 10-year total return basis (2016–2026), selected from the full 600-constituent benchmark.</w:t>
      </w:r>
    </w:p>
    <w:p/>
    <w:p>
      <w:pPr>
        <w:pStyle w:val="Heading2"/>
      </w:pPr>
      <w:r>
        <w:t>Excluded Companies</w:t>
      </w:r>
    </w:p>
    <w:p>
      <w:r>
        <w:t>Out of the 170 universe companies, 7 were excluded from the final master dataset. The grounds for each exclusion are detailed below.</w:t>
      </w:r>
    </w:p>
    <w:p/>
    <w:p>
      <w:pPr>
        <w:pStyle w:val="Heading3"/>
      </w:pPr>
      <w:r>
        <w:t>1. Safran SA</w:t>
      </w:r>
    </w:p>
    <w:p>
      <w:r>
        <w:t>Exclusion ground: Sector mandate exclusion — Aerospace &amp; Defense.</w:t>
      </w:r>
    </w:p>
    <w:p>
      <w:r>
        <w:t>Safran SA is classified under the Bloomberg Industry Classification System (BICS) as an Aerospace &amp; Defense company. The portfolio mandate explicitly prohibits investment in companies deriving material revenue from defence-related activities, including the manufacture of aircraft engines, military equipment, and weapons systems. Safran's primary business lines — aircraft engines (CFM International joint venture with GE), nacelles, and landing systems — are inextricably linked to both commercial aviation and military contracts. As the exclusion applies at the sector classification level and is non-discretionary under the mandate, Safran is removed from the investable universe.</w:t>
      </w:r>
    </w:p>
    <w:p/>
    <w:p>
      <w:pPr>
        <w:pStyle w:val="Heading3"/>
      </w:pPr>
      <w:r>
        <w:t>2. Hiab Oyj Class B</w:t>
      </w:r>
    </w:p>
    <w:p>
      <w:r>
        <w:t>Exclusion ground: Absent Bloomberg ESG coverage — recent corporate spin-off.</w:t>
      </w:r>
    </w:p>
    <w:p>
      <w:r>
        <w:t>Hiab Oyj was spun out of Cargotec Corporation in 2022 and listed separately on Nasdaq Helsinki. As a newly independent entity, Hiab has not yet accumulated sufficient Bloomberg ESG reporting history to receive a Bloomberg company identifier (idBbCompany) in the professor-provided ESG datasets (esgEnvironmentalSocialConsolidatedV4.csv, esgGovernanceConsolidatedV4.csv, legalEntityEuTaxonomy.csv). Without a Bloomberg ID, Hiab cannot be joined to the master dataset and is therefore excluded from the quantitative analysis. The company remains on the watchlist for inclusion in future periods once ESG coverage is established.</w:t>
      </w:r>
    </w:p>
    <w:p/>
    <w:p>
      <w:pPr>
        <w:pStyle w:val="Heading3"/>
      </w:pPr>
      <w:r>
        <w:t>3. Erste Bank Polska S.A.</w:t>
      </w:r>
    </w:p>
    <w:p>
      <w:r>
        <w:t>Exclusion ground: No separate Bloomberg entity — subsidiary absorbed into parent.</w:t>
      </w:r>
    </w:p>
    <w:p>
      <w:r>
        <w:t>Erste Bank Polska S.A. does not exist as an independently listed Bloomberg entity in the provided datasets. Following its merger with mBank (then BRE Bank) and subsequent integration into Erste Group Bank AG's Central and Eastern European operations, the Polish subsidiary's ESG and financial data are consolidated under the parent entity Erste Group Bank AG (idBbCompany: 118738, traded on the Vienna Stock Exchange). Assigning the parent's Bloomberg ID to Erste Bank Polska would create a duplicate record with Erste Group Bank AG, which is already present in the universe. The subsidiary is therefore excluded, while the parent entity is retained.</w:t>
      </w:r>
    </w:p>
    <w:p/>
    <w:p>
      <w:pPr>
        <w:pStyle w:val="Heading3"/>
      </w:pPr>
      <w:r>
        <w:t>4. FinecoBank Banca Fineco SpA (ZS3)</w:t>
      </w:r>
    </w:p>
    <w:p>
      <w:pPr/>
      <w:r>
        <w:t>Exclusion ground: Parent/subsidiary double-counting — consolidated carbon reporting.</w:t>
      </w:r>
    </w:p>
    <w:p>
      <w:pPr/>
      <w:r>
        <w:t>UniCredit SpA holds approximately 52% of FinecoBank Banca Fineco SpA. UniCredit reports Scope 1-3 emissions on a consolidated basis that already includes FinecoBank's footprint. Holding both entities simultaneously would double-count the subsidiary's carbon emissions in the portfolio's Weighted Average Carbon Intensity (WACI). FinecoBank is therefore excluded; UniCredit remains eligible.</w:t>
      </w:r>
    </w:p>
    <w:p>
      <w:pPr/>
    </w:p>
    <w:p>
      <w:pPr>
        <w:pStyle w:val="Heading3"/>
      </w:pPr>
      <w:r>
        <w:t>5. ING Bank Slaski SA (6GF)</w:t>
      </w:r>
    </w:p>
    <w:p>
      <w:pPr/>
      <w:r>
        <w:t>Exclusion ground: Parent/subsidiary double-counting — consolidated carbon reporting.</w:t>
      </w:r>
    </w:p>
    <w:p>
      <w:pPr/>
      <w:r>
        <w:t>ING Groep NV owns approximately 75% of ING Bank Slaski SA, its Polish subsidiary. ING Groep's consolidated sustainability disclosures encompass ING Bank Slaski's operations and emissions. Retaining both in the portfolio would overstate financed emissions and distort the WACI metric. ING Bank Slaski is therefore excluded; ING Groep NV remains eligible.</w:t>
      </w:r>
    </w:p>
    <w:p>
      <w:pPr/>
    </w:p>
    <w:p>
      <w:pPr>
        <w:pStyle w:val="Heading3"/>
      </w:pPr>
      <w:r>
        <w:t>6. Banca Generali SpA (B7A)</w:t>
      </w:r>
    </w:p>
    <w:p>
      <w:pPr/>
      <w:r>
        <w:t>Exclusion ground: Parent/subsidiary double-counting — consolidated carbon reporting.</w:t>
      </w:r>
    </w:p>
    <w:p>
      <w:pPr/>
      <w:r>
        <w:t>Assicurazioni Generali SpA holds approximately 50% of Banca Generali SpA. Generali's group-level ESG and carbon disclosures consolidate Banca Generali's figures. Including both entities would count Banca Generali's emissions twice within the portfolio. Banca Generali is excluded; Assicurazioni Generali SpA remains eligible.</w:t>
      </w:r>
    </w:p>
    <w:p>
      <w:pPr/>
    </w:p>
    <w:p>
      <w:pPr>
        <w:pStyle w:val="Heading3"/>
      </w:pPr>
      <w:r>
        <w:t>7. KBC Ancora (KB9)</w:t>
      </w:r>
    </w:p>
    <w:p>
      <w:pPr/>
      <w:r>
        <w:t>Exclusion ground: Circular ownership / pure holding vehicle — no independent operations.</w:t>
      </w:r>
    </w:p>
    <w:p>
      <w:pPr/>
      <w:r>
        <w:t>KBC Ancora is a non-operating holding company whose sole purpose is to hold a ~22% stake in KBC Group NV. It has no independent business operations, revenues, or ESG disclosures of its own. Including KBC Ancora alongside KBC Group would create circular carbon exposure and is economically meaningless from a portfolio construction standpoint. KBC Ancora is excluded; KBC Group NV remains eligible.</w:t>
      </w:r>
    </w:p>
    <w:p>
      <w:pPr/>
    </w:p>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Company</w:t>
            </w:r>
          </w:p>
        </w:tc>
        <w:tc>
          <w:tcPr>
            <w:tcW w:type="dxa" w:w="2880"/>
          </w:tcPr>
          <w:p>
            <w:r>
              <w:rPr>
                <w:b/>
              </w:rPr>
              <w:t>Exclusion Type</w:t>
            </w:r>
          </w:p>
        </w:tc>
        <w:tc>
          <w:tcPr>
            <w:tcW w:type="dxa" w:w="2880"/>
          </w:tcPr>
          <w:p>
            <w:r>
              <w:rPr>
                <w:b/>
              </w:rPr>
              <w:t>Rationale</w:t>
            </w:r>
          </w:p>
        </w:tc>
      </w:tr>
      <w:tr>
        <w:tc>
          <w:tcPr>
            <w:tcW w:type="dxa" w:w="2880"/>
          </w:tcPr>
          <w:p>
            <w:r>
              <w:t>Safran SA</w:t>
            </w:r>
          </w:p>
        </w:tc>
        <w:tc>
          <w:tcPr>
            <w:tcW w:type="dxa" w:w="2880"/>
          </w:tcPr>
          <w:p>
            <w:r>
              <w:t>Mandate — Sector</w:t>
            </w:r>
          </w:p>
        </w:tc>
        <w:tc>
          <w:tcPr>
            <w:tcW w:type="dxa" w:w="2880"/>
          </w:tcPr>
          <w:p>
            <w:r>
              <w:t>BICS: Aerospace &amp; Defense; defence revenue exclusion</w:t>
            </w:r>
          </w:p>
        </w:tc>
      </w:tr>
      <w:tr>
        <w:tc>
          <w:tcPr>
            <w:tcW w:type="dxa" w:w="2880"/>
          </w:tcPr>
          <w:p>
            <w:r>
              <w:t>Hiab Oyj Class B</w:t>
            </w:r>
          </w:p>
        </w:tc>
        <w:tc>
          <w:tcPr>
            <w:tcW w:type="dxa" w:w="2880"/>
          </w:tcPr>
          <w:p>
            <w:r>
              <w:t>Data — No ESG coverage</w:t>
            </w:r>
          </w:p>
        </w:tc>
        <w:tc>
          <w:tcPr>
            <w:tcW w:type="dxa" w:w="2880"/>
          </w:tcPr>
          <w:p>
            <w:r>
              <w:t>Recent Cargotec spin-off; no Bloomberg ID in datasets</w:t>
            </w:r>
          </w:p>
        </w:tc>
      </w:tr>
      <w:tr>
        <w:tc>
          <w:tcPr>
            <w:tcW w:type="dxa" w:w="2880"/>
          </w:tcPr>
          <w:p>
            <w:r>
              <w:t>Erste Bank Polska S.A.</w:t>
            </w:r>
          </w:p>
        </w:tc>
        <w:tc>
          <w:tcPr>
            <w:tcW w:type="dxa" w:w="2880"/>
          </w:tcPr>
          <w:p>
            <w:r>
              <w:t>Data — Duplicate entity</w:t>
            </w:r>
          </w:p>
        </w:tc>
        <w:tc>
          <w:tcPr>
            <w:tcW w:type="dxa" w:w="2880"/>
          </w:tcPr>
          <w:p>
            <w:r>
              <w:t>Subsidiary of Erste Group Bank AG; no separate Bloomberg entity</w:t>
            </w:r>
          </w:p>
        </w:tc>
      </w:tr>
      <w:tr>
        <w:tc>
          <w:tcPr>
            <w:tcW w:type="dxa" w:w="2880"/>
          </w:tcPr>
          <w:p>
            <w:r>
              <w:t>FinecoBank Banca Fineco SpA (ZS3)</w:t>
            </w:r>
          </w:p>
        </w:tc>
        <w:tc>
          <w:tcPr>
            <w:tcW w:type="dxa" w:w="2880"/>
          </w:tcPr>
          <w:p>
            <w:r>
              <w:t>Subsidiary double-counting</w:t>
            </w:r>
          </w:p>
        </w:tc>
        <w:tc>
          <w:tcPr>
            <w:tcW w:type="dxa" w:w="2880"/>
          </w:tcPr>
          <w:p>
            <w:r>
              <w:t>UniCredit (~52% owner) consolidates emissions; holding both double-counts WACI.</w:t>
            </w:r>
          </w:p>
        </w:tc>
      </w:tr>
      <w:tr>
        <w:tc>
          <w:tcPr>
            <w:tcW w:type="dxa" w:w="2880"/>
          </w:tcPr>
          <w:p>
            <w:r>
              <w:t>ING Bank Slaski SA (6GF)</w:t>
            </w:r>
          </w:p>
        </w:tc>
        <w:tc>
          <w:tcPr>
            <w:tcW w:type="dxa" w:w="2880"/>
          </w:tcPr>
          <w:p>
            <w:r>
              <w:t>Subsidiary double-counting</w:t>
            </w:r>
          </w:p>
        </w:tc>
        <w:tc>
          <w:tcPr>
            <w:tcW w:type="dxa" w:w="2880"/>
          </w:tcPr>
          <w:p>
            <w:r>
              <w:t>ING Groep NV (~75% owner) consolidates ING Bank Slaski; duplicate carbon exposure.</w:t>
            </w:r>
          </w:p>
        </w:tc>
      </w:tr>
      <w:tr>
        <w:tc>
          <w:tcPr>
            <w:tcW w:type="dxa" w:w="2880"/>
          </w:tcPr>
          <w:p>
            <w:r>
              <w:t>Banca Generali SpA (B7A)</w:t>
            </w:r>
          </w:p>
        </w:tc>
        <w:tc>
          <w:tcPr>
            <w:tcW w:type="dxa" w:w="2880"/>
          </w:tcPr>
          <w:p>
            <w:r>
              <w:t>Subsidiary double-counting</w:t>
            </w:r>
          </w:p>
        </w:tc>
        <w:tc>
          <w:tcPr>
            <w:tcW w:type="dxa" w:w="2880"/>
          </w:tcPr>
          <w:p>
            <w:r>
              <w:t>Assicurazioni Generali (~50% owner) consolidates Banca Generali emissions.</w:t>
            </w:r>
          </w:p>
        </w:tc>
      </w:tr>
      <w:tr>
        <w:tc>
          <w:tcPr>
            <w:tcW w:type="dxa" w:w="2880"/>
          </w:tcPr>
          <w:p>
            <w:r>
              <w:t>KBC Ancora (KB9)</w:t>
            </w:r>
          </w:p>
        </w:tc>
        <w:tc>
          <w:tcPr>
            <w:tcW w:type="dxa" w:w="2880"/>
          </w:tcPr>
          <w:p>
            <w:r>
              <w:t>Circular ownership / holding vehicle</w:t>
            </w:r>
          </w:p>
        </w:tc>
        <w:tc>
          <w:tcPr>
            <w:tcW w:type="dxa" w:w="2880"/>
          </w:tcPr>
          <w:p>
            <w:r>
              <w:t>Non-operating holdco; sole asset is KBC Group NV stake. No independent ESG data.</w:t>
            </w:r>
          </w:p>
        </w:tc>
      </w:tr>
    </w:tbl>
    <w:p/>
    <w:p>
      <w:r>
        <w:rPr>
          <w:i/>
        </w:rPr>
        <w:t>ESADE MSc Finance — Sustainable Portfolio Assignment,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