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97D"/>
          <w:sz w:val="48"/>
        </w:rPr>
        <w:t>AI-Agent Sustainable Finance Pipeline</w:t>
      </w:r>
    </w:p>
    <w:p>
      <w:pPr>
        <w:jc w:val="center"/>
      </w:pPr>
      <w:r>
        <w:rPr>
          <w:color w:val="2E74B5"/>
          <w:sz w:val="28"/>
        </w:rPr>
        <w:t>Agent Architecture, Methodology &amp; Integration Guide</w:t>
      </w:r>
    </w:p>
    <w:p/>
    <w:p>
      <w:pPr>
        <w:jc w:val="center"/>
      </w:pPr>
      <w:r>
        <w:t>ESADE MSc Finance — Sustainable Finance Group Assignment</w:t>
        <w:br/>
      </w:r>
      <w:r>
        <w:t>Academic Prototype — Not Investment Advice</w:t>
        <w:br/>
      </w:r>
      <w:r>
        <w:t>Generated: 13 May 2026</w:t>
      </w:r>
    </w:p>
    <w:p>
      <w:r>
        <w:br w:type="page"/>
      </w:r>
    </w:p>
    <w:p>
      <w:pPr>
        <w:pStyle w:val="Heading1"/>
      </w:pPr>
      <w:r>
        <w:rPr>
          <w:color w:val="1F497D"/>
        </w:rPr>
        <w:t>1. Pipeline Overview</w:t>
      </w:r>
    </w:p>
    <w:p>
      <w:r>
        <w:rPr>
          <w:b w:val="0"/>
          <w:i w:val="0"/>
        </w:rPr>
        <w:t>This document describes the AI-agent research pipeline built to construct a sustainable European equity portfolio. The pipeline screens ~167 STOXX Europe 600 companies across financial, ESG, biodiversity, regulatory, and greenwashing dimensions, then selects a final 20-stock long-only portfolio.</w:t>
      </w:r>
    </w:p>
    <w:p>
      <w:r>
        <w:rPr>
          <w:b w:val="0"/>
          <w:i w:val="0"/>
        </w:rPr>
        <w:t>The pipeline is composed of 13 agents, each implemented as a Jupyter notebook. Agents run sequentially: each agent reads output files produced by upstream agents and writes its own output files for downstream agents. No agent modifies the professor-provided source data files.</w:t>
      </w:r>
    </w:p>
    <w:p>
      <w:pPr>
        <w:pStyle w:val="Heading2"/>
      </w:pPr>
      <w:r>
        <w:rPr>
          <w:color w:val="2E74B5"/>
        </w:rPr>
        <w:t>1.1 Pipeline Execution Order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E74B5" w:color="FFFFFF" w:val="clear"/>
          </w:tcPr>
          <w:p>
            <w:pPr>
              <w:jc w:val="center"/>
            </w:pPr>
            <w:r>
              <w:rPr>
                <w:b/>
                <w:color w:val="FFFFFF"/>
              </w:rPr>
              <w:t>Step</w:t>
            </w:r>
          </w:p>
        </w:tc>
        <w:tc>
          <w:tcPr>
            <w:tcW w:type="dxa" w:w="2160"/>
            <w:shd w:fill="2E74B5" w:color="FFFFFF" w:val="clear"/>
          </w:tcPr>
          <w:p>
            <w:pPr>
              <w:jc w:val="center"/>
            </w:pPr>
            <w:r>
              <w:rPr>
                <w:b/>
                <w:color w:val="FFFFFF"/>
              </w:rPr>
              <w:t>Agent</w:t>
            </w:r>
          </w:p>
        </w:tc>
        <w:tc>
          <w:tcPr>
            <w:tcW w:type="dxa" w:w="2160"/>
            <w:shd w:fill="2E74B5" w:color="FFFFFF" w:val="clear"/>
          </w:tcPr>
          <w:p>
            <w:pPr>
              <w:jc w:val="center"/>
            </w:pPr>
            <w:r>
              <w:rPr>
                <w:b/>
                <w:color w:val="FFFFFF"/>
              </w:rPr>
              <w:t>Notebook</w:t>
            </w:r>
          </w:p>
        </w:tc>
        <w:tc>
          <w:tcPr>
            <w:tcW w:type="dxa" w:w="2160"/>
            <w:shd w:fill="2E74B5" w:color="FFFFFF" w:val="clear"/>
          </w:tcPr>
          <w:p>
            <w:pPr>
              <w:jc w:val="center"/>
            </w:pPr>
            <w:r>
              <w:rPr>
                <w:b/>
                <w:color w:val="FFFFFF"/>
              </w:rPr>
              <w:t>Type</w:t>
            </w:r>
          </w:p>
        </w:tc>
      </w:tr>
      <w:tr>
        <w:tc>
          <w:tcPr>
            <w:tcW w:type="dxa" w:w="2160"/>
            <w:shd w:fill="EBF3FB" w:val="clear"/>
          </w:tcPr>
          <w:p>
            <w:r>
              <w:t>1</w:t>
            </w:r>
          </w:p>
        </w:tc>
        <w:tc>
          <w:tcPr>
            <w:tcW w:type="dxa" w:w="2160"/>
            <w:shd w:fill="EBF3FB" w:val="clear"/>
          </w:tcPr>
          <w:p>
            <w:r>
              <w:t>Agent 2 — Data Ingestion</w:t>
            </w:r>
          </w:p>
        </w:tc>
        <w:tc>
          <w:tcPr>
            <w:tcW w:type="dxa" w:w="2160"/>
            <w:shd w:fill="EBF3FB" w:val="clear"/>
          </w:tcPr>
          <w:p>
            <w:r>
              <w:t>agent02_data_ingestion.ipynb</w:t>
            </w:r>
          </w:p>
        </w:tc>
        <w:tc>
          <w:tcPr>
            <w:tcW w:type="dxa" w:w="2160"/>
            <w:shd w:fill="EBF3FB" w:val="clear"/>
          </w:tcPr>
          <w:p>
            <w:r>
              <w:t>Automated</w:t>
            </w:r>
          </w:p>
        </w:tc>
      </w:tr>
      <w:tr>
        <w:tc>
          <w:tcPr>
            <w:tcW w:type="dxa" w:w="2160"/>
          </w:tcPr>
          <w:p>
            <w:r>
              <w:t>2</w:t>
            </w:r>
          </w:p>
        </w:tc>
        <w:tc>
          <w:tcPr>
            <w:tcW w:type="dxa" w:w="2160"/>
          </w:tcPr>
          <w:p>
            <w:r>
              <w:t>Agent 3 — Data Quality</w:t>
            </w:r>
          </w:p>
        </w:tc>
        <w:tc>
          <w:tcPr>
            <w:tcW w:type="dxa" w:w="2160"/>
          </w:tcPr>
          <w:p>
            <w:r>
              <w:t>agent03_data_quality.ipynb</w:t>
            </w:r>
          </w:p>
        </w:tc>
        <w:tc>
          <w:tcPr>
            <w:tcW w:type="dxa" w:w="2160"/>
          </w:tcPr>
          <w:p>
            <w:r>
              <w:t>Automated</w:t>
            </w:r>
          </w:p>
        </w:tc>
      </w:tr>
      <w:tr>
        <w:tc>
          <w:tcPr>
            <w:tcW w:type="dxa" w:w="2160"/>
            <w:shd w:fill="EBF3FB" w:val="clear"/>
          </w:tcPr>
          <w:p>
            <w:r>
              <w:t>3</w:t>
            </w:r>
          </w:p>
        </w:tc>
        <w:tc>
          <w:tcPr>
            <w:tcW w:type="dxa" w:w="2160"/>
            <w:shd w:fill="EBF3FB" w:val="clear"/>
          </w:tcPr>
          <w:p>
            <w:r>
              <w:t>Agent 10 — Financial Analysis</w:t>
            </w:r>
          </w:p>
        </w:tc>
        <w:tc>
          <w:tcPr>
            <w:tcW w:type="dxa" w:w="2160"/>
            <w:shd w:fill="EBF3FB" w:val="clear"/>
          </w:tcPr>
          <w:p>
            <w:r>
              <w:t>agent10_financial_analysis.ipynb</w:t>
            </w:r>
          </w:p>
        </w:tc>
        <w:tc>
          <w:tcPr>
            <w:tcW w:type="dxa" w:w="2160"/>
            <w:shd w:fill="EBF3FB" w:val="clear"/>
          </w:tcPr>
          <w:p>
            <w:r>
              <w:t>Automated</w:t>
            </w:r>
          </w:p>
        </w:tc>
      </w:tr>
      <w:tr>
        <w:tc>
          <w:tcPr>
            <w:tcW w:type="dxa" w:w="2160"/>
          </w:tcPr>
          <w:p>
            <w:r>
              <w:t>4</w:t>
            </w:r>
          </w:p>
        </w:tc>
        <w:tc>
          <w:tcPr>
            <w:tcW w:type="dxa" w:w="2160"/>
          </w:tcPr>
          <w:p>
            <w:r>
              <w:t>Agents 5/6 — ESG + Climate</w:t>
            </w:r>
          </w:p>
        </w:tc>
        <w:tc>
          <w:tcPr>
            <w:tcW w:type="dxa" w:w="2160"/>
          </w:tcPr>
          <w:p>
            <w:r>
              <w:t>agent05_06_esg_climate.ipynb</w:t>
            </w:r>
          </w:p>
        </w:tc>
        <w:tc>
          <w:tcPr>
            <w:tcW w:type="dxa" w:w="2160"/>
          </w:tcPr>
          <w:p>
            <w:r>
              <w:t>Automated</w:t>
            </w:r>
          </w:p>
        </w:tc>
      </w:tr>
      <w:tr>
        <w:tc>
          <w:tcPr>
            <w:tcW w:type="dxa" w:w="2160"/>
            <w:shd w:fill="EBF3FB" w:val="clear"/>
          </w:tcPr>
          <w:p>
            <w:r>
              <w:t>5</w:t>
            </w:r>
          </w:p>
        </w:tc>
        <w:tc>
          <w:tcPr>
            <w:tcW w:type="dxa" w:w="2160"/>
            <w:shd w:fill="EBF3FB" w:val="clear"/>
          </w:tcPr>
          <w:p>
            <w:r>
              <w:t>Agent 7 — Biodiversity</w:t>
            </w:r>
          </w:p>
        </w:tc>
        <w:tc>
          <w:tcPr>
            <w:tcW w:type="dxa" w:w="2160"/>
            <w:shd w:fill="EBF3FB" w:val="clear"/>
          </w:tcPr>
          <w:p>
            <w:r>
              <w:t>agent07_biodiversity.ipynb</w:t>
            </w:r>
          </w:p>
        </w:tc>
        <w:tc>
          <w:tcPr>
            <w:tcW w:type="dxa" w:w="2160"/>
            <w:shd w:fill="EBF3FB" w:val="clear"/>
          </w:tcPr>
          <w:p>
            <w:r>
              <w:t>Automated</w:t>
            </w:r>
          </w:p>
        </w:tc>
      </w:tr>
      <w:tr>
        <w:tc>
          <w:tcPr>
            <w:tcW w:type="dxa" w:w="2160"/>
          </w:tcPr>
          <w:p>
            <w:r>
              <w:t>6</w:t>
            </w:r>
          </w:p>
        </w:tc>
        <w:tc>
          <w:tcPr>
            <w:tcW w:type="dxa" w:w="2160"/>
          </w:tcPr>
          <w:p>
            <w:r>
              <w:t>Agent 8 — EU Regulation</w:t>
            </w:r>
          </w:p>
        </w:tc>
        <w:tc>
          <w:tcPr>
            <w:tcW w:type="dxa" w:w="2160"/>
          </w:tcPr>
          <w:p>
            <w:r>
              <w:t>agent08_eu_regulation.ipynb</w:t>
            </w:r>
          </w:p>
        </w:tc>
        <w:tc>
          <w:tcPr>
            <w:tcW w:type="dxa" w:w="2160"/>
          </w:tcPr>
          <w:p>
            <w:r>
              <w:t>Automated</w:t>
            </w:r>
          </w:p>
        </w:tc>
      </w:tr>
      <w:tr>
        <w:tc>
          <w:tcPr>
            <w:tcW w:type="dxa" w:w="2160"/>
            <w:shd w:fill="EBF3FB" w:val="clear"/>
          </w:tcPr>
          <w:p>
            <w:r>
              <w:t>7</w:t>
            </w:r>
          </w:p>
        </w:tc>
        <w:tc>
          <w:tcPr>
            <w:tcW w:type="dxa" w:w="2160"/>
            <w:shd w:fill="EBF3FB" w:val="clear"/>
          </w:tcPr>
          <w:p>
            <w:r>
              <w:t>Agent 4 — Document Intelligence</w:t>
            </w:r>
          </w:p>
        </w:tc>
        <w:tc>
          <w:tcPr>
            <w:tcW w:type="dxa" w:w="2160"/>
            <w:shd w:fill="EBF3FB" w:val="clear"/>
          </w:tcPr>
          <w:p>
            <w:r>
              <w:t>agent04_document_intelligence.ipynb</w:t>
            </w:r>
          </w:p>
        </w:tc>
        <w:tc>
          <w:tcPr>
            <w:tcW w:type="dxa" w:w="2160"/>
            <w:shd w:fill="EBF3FB" w:val="clear"/>
          </w:tcPr>
          <w:p>
            <w:r>
              <w:t>Manual (RAG Operator)</w:t>
            </w:r>
          </w:p>
        </w:tc>
      </w:tr>
      <w:tr>
        <w:tc>
          <w:tcPr>
            <w:tcW w:type="dxa" w:w="2160"/>
          </w:tcPr>
          <w:p>
            <w:r>
              <w:t>8</w:t>
            </w:r>
          </w:p>
        </w:tc>
        <w:tc>
          <w:tcPr>
            <w:tcW w:type="dxa" w:w="2160"/>
          </w:tcPr>
          <w:p>
            <w:r>
              <w:t>RAG Screening Sheet</w:t>
            </w:r>
          </w:p>
        </w:tc>
        <w:tc>
          <w:tcPr>
            <w:tcW w:type="dxa" w:w="2160"/>
          </w:tcPr>
          <w:p>
            <w:r>
              <w:t>data/rag/RAG_Screening_Sheet_Workbook_v1.xlsx</w:t>
            </w:r>
          </w:p>
        </w:tc>
        <w:tc>
          <w:tcPr>
            <w:tcW w:type="dxa" w:w="2160"/>
          </w:tcPr>
          <w:p>
            <w:r>
              <w:t>Manual (RAG Operator)</w:t>
            </w:r>
          </w:p>
        </w:tc>
      </w:tr>
      <w:tr>
        <w:tc>
          <w:tcPr>
            <w:tcW w:type="dxa" w:w="2160"/>
            <w:shd w:fill="EBF3FB" w:val="clear"/>
          </w:tcPr>
          <w:p>
            <w:r>
              <w:t>9</w:t>
            </w:r>
          </w:p>
        </w:tc>
        <w:tc>
          <w:tcPr>
            <w:tcW w:type="dxa" w:w="2160"/>
            <w:shd w:fill="EBF3FB" w:val="clear"/>
          </w:tcPr>
          <w:p>
            <w:r>
              <w:t>Agent 9 — Greenwashing</w:t>
            </w:r>
          </w:p>
        </w:tc>
        <w:tc>
          <w:tcPr>
            <w:tcW w:type="dxa" w:w="2160"/>
            <w:shd w:fill="EBF3FB" w:val="clear"/>
          </w:tcPr>
          <w:p>
            <w:r>
              <w:t>agent09_greenwashing.ipynb</w:t>
            </w:r>
          </w:p>
        </w:tc>
        <w:tc>
          <w:tcPr>
            <w:tcW w:type="dxa" w:w="2160"/>
            <w:shd w:fill="EBF3FB" w:val="clear"/>
          </w:tcPr>
          <w:p>
            <w:r>
              <w:t>Automated</w:t>
            </w:r>
          </w:p>
        </w:tc>
      </w:tr>
      <w:tr>
        <w:tc>
          <w:tcPr>
            <w:tcW w:type="dxa" w:w="2160"/>
          </w:tcPr>
          <w:p>
            <w:r>
              <w:t>10</w:t>
            </w:r>
          </w:p>
        </w:tc>
        <w:tc>
          <w:tcPr>
            <w:tcW w:type="dxa" w:w="2160"/>
          </w:tcPr>
          <w:p>
            <w:r>
              <w:t>Agent 11 — Portfolio Construction</w:t>
            </w:r>
          </w:p>
        </w:tc>
        <w:tc>
          <w:tcPr>
            <w:tcW w:type="dxa" w:w="2160"/>
          </w:tcPr>
          <w:p>
            <w:r>
              <w:t>agent11_portfolio_construction.ipynb</w:t>
            </w:r>
          </w:p>
        </w:tc>
        <w:tc>
          <w:tcPr>
            <w:tcW w:type="dxa" w:w="2160"/>
          </w:tcPr>
          <w:p>
            <w:r>
              <w:t>Automated</w:t>
            </w:r>
          </w:p>
        </w:tc>
      </w:tr>
      <w:tr>
        <w:tc>
          <w:tcPr>
            <w:tcW w:type="dxa" w:w="2160"/>
            <w:shd w:fill="EBF3FB" w:val="clear"/>
          </w:tcPr>
          <w:p>
            <w:r>
              <w:t>11</w:t>
            </w:r>
          </w:p>
        </w:tc>
        <w:tc>
          <w:tcPr>
            <w:tcW w:type="dxa" w:w="2160"/>
            <w:shd w:fill="EBF3FB" w:val="clear"/>
          </w:tcPr>
          <w:p>
            <w:r>
              <w:t>Agent 12 — Human Review</w:t>
            </w:r>
          </w:p>
        </w:tc>
        <w:tc>
          <w:tcPr>
            <w:tcW w:type="dxa" w:w="2160"/>
            <w:shd w:fill="EBF3FB" w:val="clear"/>
          </w:tcPr>
          <w:p>
            <w:r>
              <w:t>agent12_human_review.ipynb</w:t>
            </w:r>
          </w:p>
        </w:tc>
        <w:tc>
          <w:tcPr>
            <w:tcW w:type="dxa" w:w="2160"/>
            <w:shd w:fill="EBF3FB" w:val="clear"/>
          </w:tcPr>
          <w:p>
            <w:r>
              <w:t>Manual + Automated</w:t>
            </w:r>
          </w:p>
        </w:tc>
      </w:tr>
      <w:tr>
        <w:tc>
          <w:tcPr>
            <w:tcW w:type="dxa" w:w="2160"/>
          </w:tcPr>
          <w:p>
            <w:r>
              <w:t>12</w:t>
            </w:r>
          </w:p>
        </w:tc>
        <w:tc>
          <w:tcPr>
            <w:tcW w:type="dxa" w:w="2160"/>
          </w:tcPr>
          <w:p>
            <w:r>
              <w:t>Agent 13 — Reporting</w:t>
            </w:r>
          </w:p>
        </w:tc>
        <w:tc>
          <w:tcPr>
            <w:tcW w:type="dxa" w:w="2160"/>
          </w:tcPr>
          <w:p>
            <w:r>
              <w:t>agent13_reporting.ipynb</w:t>
            </w:r>
          </w:p>
        </w:tc>
        <w:tc>
          <w:tcPr>
            <w:tcW w:type="dxa" w:w="2160"/>
          </w:tcPr>
          <w:p>
            <w:r>
              <w:t>Automated</w:t>
            </w:r>
          </w:p>
        </w:tc>
      </w:tr>
    </w:tbl>
    <w:p/>
    <w:p>
      <w:pPr>
        <w:pStyle w:val="Heading2"/>
      </w:pPr>
      <w:r>
        <w:rPr>
          <w:color w:val="2E74B5"/>
        </w:rPr>
        <w:t>1.2 Data Flow Architecture</w:t>
      </w:r>
    </w:p>
    <w:p>
      <w:r>
        <w:rPr>
          <w:b w:val="0"/>
          <w:i w:val="0"/>
        </w:rPr>
        <w:t>All agents communicate through CSV and JSON files stored in the outputs/ folder. No agent calls another agent directly — this file-based handoff means any single agent can be re-run independently without affecting others, as long as its input files are present.</w:t>
      </w:r>
    </w:p>
    <w:tbl>
      <w:tblPr>
        <w:tblStyle w:val="TableGrid"/>
        <w:tblW w:type="auto" w:w="0"/>
        <w:tblLook w:firstColumn="1" w:firstRow="1" w:lastColumn="0" w:lastRow="0" w:noHBand="0" w:noVBand="1" w:val="04A0"/>
      </w:tblPr>
      <w:tblGrid>
        <w:gridCol w:w="4320"/>
        <w:gridCol w:w="4320"/>
      </w:tblGrid>
      <w:tr>
        <w:tc>
          <w:tcPr>
            <w:tcW w:type="dxa" w:w="4320"/>
            <w:shd w:fill="2E74B5" w:color="FFFFFF" w:val="clear"/>
          </w:tcPr>
          <w:p>
            <w:pPr>
              <w:jc w:val="center"/>
            </w:pPr>
            <w:r>
              <w:rPr>
                <w:b/>
                <w:color w:val="FFFFFF"/>
              </w:rPr>
              <w:t>Folder</w:t>
            </w:r>
          </w:p>
        </w:tc>
        <w:tc>
          <w:tcPr>
            <w:tcW w:type="dxa" w:w="4320"/>
            <w:shd w:fill="2E74B5" w:color="FFFFFF" w:val="clear"/>
          </w:tcPr>
          <w:p>
            <w:pPr>
              <w:jc w:val="center"/>
            </w:pPr>
            <w:r>
              <w:rPr>
                <w:b/>
                <w:color w:val="FFFFFF"/>
              </w:rPr>
              <w:t>Contents</w:t>
            </w:r>
          </w:p>
        </w:tc>
      </w:tr>
      <w:tr>
        <w:tc>
          <w:tcPr>
            <w:tcW w:type="dxa" w:w="4320"/>
            <w:shd w:fill="EBF3FB" w:val="clear"/>
          </w:tcPr>
          <w:p>
            <w:r>
              <w:t>data/provided/</w:t>
            </w:r>
          </w:p>
        </w:tc>
        <w:tc>
          <w:tcPr>
            <w:tcW w:type="dxa" w:w="4320"/>
            <w:shd w:fill="EBF3FB" w:val="clear"/>
          </w:tcPr>
          <w:p>
            <w:r>
              <w:t>Professor CSVs — never modified (equityBicsV2, ESG, Governance, EU Taxonomy)</w:t>
            </w:r>
          </w:p>
        </w:tc>
      </w:tr>
      <w:tr>
        <w:tc>
          <w:tcPr>
            <w:tcW w:type="dxa" w:w="4320"/>
          </w:tcPr>
          <w:p>
            <w:r>
              <w:t>data/market/</w:t>
            </w:r>
          </w:p>
        </w:tc>
        <w:tc>
          <w:tcPr>
            <w:tcW w:type="dxa" w:w="4320"/>
          </w:tcPr>
          <w:p>
            <w:r>
              <w:t>Downloaded price data (yfinance) — date-stamped</w:t>
            </w:r>
          </w:p>
        </w:tc>
      </w:tr>
      <w:tr>
        <w:tc>
          <w:tcPr>
            <w:tcW w:type="dxa" w:w="4320"/>
            <w:shd w:fill="EBF3FB" w:val="clear"/>
          </w:tcPr>
          <w:p>
            <w:r>
              <w:t>data/rag/</w:t>
            </w:r>
          </w:p>
        </w:tc>
        <w:tc>
          <w:tcPr>
            <w:tcW w:type="dxa" w:w="4320"/>
            <w:shd w:fill="EBF3FB" w:val="clear"/>
          </w:tcPr>
          <w:p>
            <w:r>
              <w:t>RAG Screening Sheet workbook — filled in by RAG Operator</w:t>
            </w:r>
          </w:p>
        </w:tc>
      </w:tr>
      <w:tr>
        <w:tc>
          <w:tcPr>
            <w:tcW w:type="dxa" w:w="4320"/>
          </w:tcPr>
          <w:p>
            <w:r>
              <w:t>outputs/scores/</w:t>
            </w:r>
          </w:p>
        </w:tc>
        <w:tc>
          <w:tcPr>
            <w:tcW w:type="dxa" w:w="4320"/>
          </w:tcPr>
          <w:p>
            <w:r>
              <w:t>Master dataset, ESG scores, financial metrics, biodiversity, EU reg</w:t>
            </w:r>
          </w:p>
        </w:tc>
      </w:tr>
      <w:tr>
        <w:tc>
          <w:tcPr>
            <w:tcW w:type="dxa" w:w="4320"/>
            <w:shd w:fill="EBF3FB" w:val="clear"/>
          </w:tcPr>
          <w:p>
            <w:r>
              <w:t>outputs/portfolio/</w:t>
            </w:r>
          </w:p>
        </w:tc>
        <w:tc>
          <w:tcPr>
            <w:tcW w:type="dxa" w:w="4320"/>
            <w:shd w:fill="EBF3FB" w:val="clear"/>
          </w:tcPr>
          <w:p>
            <w:r>
              <w:t>Final portfolio, exclusion logs, universe scores</w:t>
            </w:r>
          </w:p>
        </w:tc>
      </w:tr>
      <w:tr>
        <w:tc>
          <w:tcPr>
            <w:tcW w:type="dxa" w:w="4320"/>
          </w:tcPr>
          <w:p>
            <w:r>
              <w:t>outputs/reports/</w:t>
            </w:r>
          </w:p>
        </w:tc>
        <w:tc>
          <w:tcPr>
            <w:tcW w:type="dxa" w:w="4320"/>
          </w:tcPr>
          <w:p>
            <w:r>
              <w:t>Charts (PNG) and factsheet text for presentation</w:t>
            </w:r>
          </w:p>
        </w:tc>
      </w:tr>
      <w:tr>
        <w:tc>
          <w:tcPr>
            <w:tcW w:type="dxa" w:w="4320"/>
            <w:shd w:fill="EBF3FB" w:val="clear"/>
          </w:tcPr>
          <w:p>
            <w:r>
              <w:t>outputs/rag/</w:t>
            </w:r>
          </w:p>
        </w:tc>
        <w:tc>
          <w:tcPr>
            <w:tcW w:type="dxa" w:w="4320"/>
            <w:shd w:fill="EBF3FB" w:val="clear"/>
          </w:tcPr>
          <w:p>
            <w:r>
              <w:t>Greenwashing JSON files — one per screened company</w:t>
            </w:r>
          </w:p>
        </w:tc>
      </w:tr>
    </w:tbl>
    <w:p>
      <w:r>
        <w:br w:type="page"/>
      </w:r>
    </w:p>
    <w:p>
      <w:pPr>
        <w:pStyle w:val="Heading1"/>
      </w:pPr>
      <w:r>
        <w:rPr>
          <w:color w:val="1F497D"/>
        </w:rPr>
        <w:t>2. Individual Agent Descriptions</w:t>
      </w:r>
    </w:p>
    <w:p>
      <w:pPr>
        <w:pStyle w:val="Heading2"/>
      </w:pPr>
      <w:r>
        <w:rPr>
          <w:color w:val="2E74B5"/>
        </w:rPr>
        <w:t>Agent 1 — Mandate (agent01_mandate.ipynb)</w:t>
      </w:r>
    </w:p>
    <w:p>
      <w:pPr>
        <w:pStyle w:val="Heading3"/>
      </w:pPr>
      <w:r>
        <w:t>What it does</w:t>
      </w:r>
    </w:p>
    <w:p>
      <w:r>
        <w:rPr>
          <w:b w:val="0"/>
          <w:i w:val="0"/>
        </w:rPr>
        <w:t>Defines the fund's investment mandate: the investment thesis, ESG screening philosophy, sector exclusion rules, and composite score weights. Outputs mandate.json, which is read by Agents 8, 11, and 12 to ensure all decisions are anchored to the mandate.</w:t>
      </w:r>
    </w:p>
    <w:p>
      <w:pPr>
        <w:pStyle w:val="Heading3"/>
      </w:pPr>
      <w:r>
        <w:t>How it was built</w:t>
      </w:r>
    </w:p>
    <w:p>
      <w:r>
        <w:rPr>
          <w:b w:val="0"/>
          <w:i w:val="0"/>
        </w:rPr>
        <w:t>A structured JSON file is created programmatically. The mandate specifies: fund name, benchmark (STOXX Europe 600), target holdings (20), maximum single-stock weight (10%), minimum sectors (5), hard exclusion rules (weapons, tobacco, thermal coal), and composite score weights used in portfolio construction.</w:t>
      </w:r>
    </w:p>
    <w:p>
      <w:pPr>
        <w:pStyle w:val="Heading3"/>
      </w:pPr>
      <w:r>
        <w:t>Key output</w:t>
      </w:r>
    </w:p>
    <w:p>
      <w:pPr>
        <w:pStyle w:val="ListBullet"/>
      </w:pPr>
      <w:r>
        <w:t>outputs/scores/mandate.json</w:t>
      </w:r>
    </w:p>
    <w:p/>
    <w:p>
      <w:pPr>
        <w:pStyle w:val="Heading2"/>
      </w:pPr>
      <w:r>
        <w:rPr>
          <w:color w:val="2E74B5"/>
        </w:rPr>
        <w:t>Agent 2 — Data Ingestion (agent02_data_ingestion.ipynb)</w:t>
      </w:r>
    </w:p>
    <w:p>
      <w:pPr>
        <w:pStyle w:val="Heading3"/>
      </w:pPr>
      <w:r>
        <w:t>What it does</w:t>
      </w:r>
    </w:p>
    <w:p>
      <w:r>
        <w:rPr>
          <w:b w:val="0"/>
          <w:i w:val="0"/>
        </w:rPr>
        <w:t>Loads all four professor-provided CSV files, merges them on company identifiers, downloads historical price data for all universe companies, and produces the master dataset. All subsequent agents read from this master dataset.</w:t>
      </w:r>
    </w:p>
    <w:p>
      <w:pPr>
        <w:pStyle w:val="Heading3"/>
      </w:pPr>
      <w:r>
        <w:t>How it was built</w:t>
      </w:r>
    </w:p>
    <w:p>
      <w:r>
        <w:rPr>
          <w:b w:val="0"/>
          <w:i w:val="0"/>
        </w:rPr>
        <w:t>Four CSVs are loaded: equityBicsV2 (identifiers, sectors), esgEnvironmentalSocialConsolidated (E and S metrics), esgGovernanceConsolidated (G metrics), and legalEntityEuTaxonomy (taxonomy data). They are merged on idBbCompany — the unique Bloomberg company identifier. Price data is downloaded using yfinance with the exchange-qualified tickers (e.g. ASML.AS, SAP.DE) and cached with a date stamp. A column renaming step maps 15 Bloomberg raw column names (e.g. ghgScope1) to clean analytical names (e.g. scope1_emissions_tco2e).</w:t>
      </w:r>
    </w:p>
    <w:p>
      <w:pPr>
        <w:pStyle w:val="Heading3"/>
      </w:pPr>
      <w:r>
        <w:t>Key outputs</w:t>
      </w:r>
    </w:p>
    <w:p>
      <w:pPr>
        <w:pStyle w:val="ListBullet"/>
      </w:pPr>
      <w:r>
        <w:t>outputs/scores/master_dataset_YYYY-MM-DD.csv</w:t>
      </w:r>
    </w:p>
    <w:p>
      <w:pPr>
        <w:pStyle w:val="ListBullet"/>
      </w:pPr>
      <w:r>
        <w:t>data/market/prices_YYYY-MM-DD.csv</w:t>
      </w:r>
    </w:p>
    <w:p/>
    <w:p>
      <w:pPr>
        <w:pStyle w:val="Heading2"/>
      </w:pPr>
      <w:r>
        <w:rPr>
          <w:color w:val="2E74B5"/>
        </w:rPr>
        <w:t>Agent 3 — Data Quality (agent03_data_quality.ipynb)</w:t>
      </w:r>
    </w:p>
    <w:p>
      <w:pPr>
        <w:pStyle w:val="Heading3"/>
      </w:pPr>
      <w:r>
        <w:t>What it does</w:t>
      </w:r>
    </w:p>
    <w:p>
      <w:r>
        <w:rPr>
          <w:b w:val="0"/>
          <w:i w:val="0"/>
        </w:rPr>
        <w:t>Audits the master dataset before any analysis runs. Identifies missing values, detects statistical outliers, produces a data dictionary, and notes limitations of the EU Taxonomy data (eligibility vs alignment distinction).</w:t>
      </w:r>
    </w:p>
    <w:p>
      <w:pPr>
        <w:pStyle w:val="Heading3"/>
      </w:pPr>
      <w:r>
        <w:t>How it was built</w:t>
      </w:r>
    </w:p>
    <w:p>
      <w:r>
        <w:rPr>
          <w:b w:val="0"/>
          <w:i w:val="0"/>
        </w:rPr>
        <w:t>The notebook calculates coverage rates for every column (% non-null), flags columns below a 50% coverage threshold, runs IQR-based outlier detection on numerical ESG variables, and produces a structured data dictionary classifying each variable as reported / observed / estimated / AI-extracted / judgement-based. This step runs before financial analysis so quality issues are visible before scores are computed.</w:t>
      </w:r>
    </w:p>
    <w:p>
      <w:pPr>
        <w:pStyle w:val="Heading3"/>
      </w:pPr>
      <w:r>
        <w:t>Key outputs</w:t>
      </w:r>
    </w:p>
    <w:p>
      <w:pPr>
        <w:pStyle w:val="ListBullet"/>
      </w:pPr>
      <w:r>
        <w:t>outputs/scores/data_dictionary_YYYY-MM-DD.csv</w:t>
      </w:r>
    </w:p>
    <w:p>
      <w:pPr>
        <w:pStyle w:val="ListBullet"/>
      </w:pPr>
      <w:r>
        <w:t>outputs/scores/outliers_YYYY-MM-DD.csv</w:t>
      </w:r>
    </w:p>
    <w:p/>
    <w:p>
      <w:pPr>
        <w:pStyle w:val="Heading2"/>
      </w:pPr>
      <w:r>
        <w:rPr>
          <w:color w:val="2E74B5"/>
        </w:rPr>
        <w:t>Agent 10 — Financial Analysis (agent10_financial_analysis.ipynb)</w:t>
      </w:r>
    </w:p>
    <w:p>
      <w:pPr>
        <w:pStyle w:val="Heading3"/>
      </w:pPr>
      <w:r>
        <w:t>What it does</w:t>
      </w:r>
    </w:p>
    <w:p>
      <w:r>
        <w:rPr>
          <w:b w:val="0"/>
          <w:i w:val="0"/>
        </w:rPr>
        <w:t>Calculates all financial risk/return metrics for the universe and applies the first hard filter: the volatility cap. Companies with annualised volatility above 40% are excluded before ESG scoring begins. Also fetches quality metrics (ROE, D/E ratio, revenue growth) and calculates beta against the STOXX 600 benchmark.</w:t>
      </w:r>
    </w:p>
    <w:p>
      <w:pPr>
        <w:pStyle w:val="Heading3"/>
      </w:pPr>
      <w:r>
        <w:t>How it was built</w:t>
      </w:r>
    </w:p>
    <w:p>
      <w:r>
        <w:rPr>
          <w:b w:val="0"/>
          <w:i w:val="0"/>
        </w:rPr>
        <w:t>Daily returns are computed from the price matrix. Annualised return, volatility, Sharpe ratio (ECB risk-free rate 3%), and maximum drawdown are calculated for each company. Quality metrics (ROE, debt-to-equity, revenue growth) are fetched via yfinance .info(). Beta is computed against the iShares STOXX 600 ETF (EXW1.DE), with automatic fallback to alternative benchmark tickers if the primary download fails. The volatility cap (&gt;40% annual vol) produces the financial exclusion log.</w:t>
      </w:r>
    </w:p>
    <w:p>
      <w:pPr>
        <w:pStyle w:val="Heading3"/>
      </w:pPr>
      <w:r>
        <w:t>Design decision: why financial screen before ESG</w:t>
      </w:r>
    </w:p>
    <w:p>
      <w:r>
        <w:rPr>
          <w:b w:val="0"/>
          <w:i/>
        </w:rPr>
        <w:t>Running financial screens first avoids wasting ESG computation on companies that will be excluded regardless of their sustainability profile. Volatility above 40% indicates stocks too risky for a long-only sustainable fund regardless of ESG quality.</w:t>
      </w:r>
    </w:p>
    <w:p>
      <w:pPr>
        <w:pStyle w:val="Heading3"/>
      </w:pPr>
      <w:r>
        <w:t>Key outputs</w:t>
      </w:r>
    </w:p>
    <w:p>
      <w:pPr>
        <w:pStyle w:val="ListBullet"/>
      </w:pPr>
      <w:r>
        <w:t>outputs/scores/financial_metrics_YYYY-MM-DD.csv — all 167 companies</w:t>
      </w:r>
    </w:p>
    <w:p>
      <w:pPr>
        <w:pStyle w:val="ListBullet"/>
      </w:pPr>
      <w:r>
        <w:t>outputs/scores/financial_screen_passed_YYYY-MM-DD.csv — companies passing vol cap</w:t>
      </w:r>
    </w:p>
    <w:p>
      <w:pPr>
        <w:pStyle w:val="ListBullet"/>
      </w:pPr>
      <w:r>
        <w:t>outputs/portfolio/financial_exclusions_YYYY-MM-DD.csv — excluded with reason</w:t>
      </w:r>
    </w:p>
    <w:p/>
    <w:p>
      <w:pPr>
        <w:pStyle w:val="Heading2"/>
      </w:pPr>
      <w:r>
        <w:rPr>
          <w:color w:val="2E74B5"/>
        </w:rPr>
        <w:t>Agents 5 &amp; 6 — ESG Scoring + Climate (agent05_06_esg_climate.ipynb)</w:t>
      </w:r>
    </w:p>
    <w:p>
      <w:pPr>
        <w:pStyle w:val="Heading3"/>
      </w:pPr>
      <w:r>
        <w:t>What it does</w:t>
      </w:r>
    </w:p>
    <w:p>
      <w:r>
        <w:rPr>
          <w:b w:val="0"/>
          <w:i w:val="0"/>
        </w:rPr>
        <w:t>Builds Environmental (E), Social (S), and Governance (G) scores (0–100) for all 167 companies using SASB sector-adjusted weights. Runs ESG triangulation across three independent sources. Calculates carbon intensity per company for WACI computation.</w:t>
      </w:r>
    </w:p>
    <w:p>
      <w:pPr>
        <w:pStyle w:val="Heading3"/>
      </w:pPr>
      <w:r>
        <w:t>How it was built</w:t>
      </w:r>
    </w:p>
    <w:p>
      <w:r>
        <w:rPr>
          <w:b w:val="0"/>
          <w:i w:val="0"/>
        </w:rPr>
        <w:t>Step 0 maps each company's BICS sector to SASB Materiality weights — the relative importance of E, S, and G varies by sector (e.g. Energy: E=55%, S=25%, G=20%; Technology: E=25%, S=35%, G=40%). Each ESG variable is min-max normalised to 0–100 within its pillar. Pillar scores are combined using SASB weights into a composite ESG score.</w:t>
      </w:r>
    </w:p>
    <w:p>
      <w:r>
        <w:rPr>
          <w:b w:val="0"/>
          <w:i w:val="0"/>
        </w:rPr>
        <w:t>ESG Triangulation applies a 2-of-3 rule across: (1) the agent's own ESG score ≥50, (2) Bloomberg ESG Disclosure Score ≥50, (3) Sustainalytics Risk Score ≤30. Companies passing 2+ sources are flagged PASS; those failing 2+ are flagged WATCHLIST. This guards against over-reliance on any single ESG rating provider.</w:t>
      </w:r>
    </w:p>
    <w:p>
      <w:r>
        <w:rPr>
          <w:b w:val="0"/>
          <w:i w:val="0"/>
        </w:rPr>
        <w:t>Carbon intensity (tCO₂e per €m revenue) from the master dataset is merged into the ESG output file, enabling WACI to be calculated at the portfolio level in Agent 13.</w:t>
      </w:r>
    </w:p>
    <w:p>
      <w:pPr>
        <w:pStyle w:val="Heading3"/>
      </w:pPr>
      <w:r>
        <w:t>Key outputs</w:t>
      </w:r>
    </w:p>
    <w:p>
      <w:pPr>
        <w:pStyle w:val="ListBullet"/>
      </w:pPr>
      <w:r>
        <w:t>outputs/scores/esg_scores_YYYY-MM-DD.csv — E, S, G, ESG scores + SASB weights + triangulation result + carbon intensity</w:t>
      </w:r>
    </w:p>
    <w:p/>
    <w:p>
      <w:pPr>
        <w:pStyle w:val="Heading2"/>
      </w:pPr>
      <w:r>
        <w:rPr>
          <w:color w:val="2E74B5"/>
        </w:rPr>
        <w:t>Agent 7 — Biodiversity (agent07_biodiversity.ipynb)</w:t>
      </w:r>
    </w:p>
    <w:p>
      <w:pPr>
        <w:pStyle w:val="Heading3"/>
      </w:pPr>
      <w:r>
        <w:t>What it does</w:t>
      </w:r>
    </w:p>
    <w:p>
      <w:r>
        <w:rPr>
          <w:b w:val="0"/>
          <w:i w:val="0"/>
        </w:rPr>
        <w:t>Assigns a nature-risk score and tier (Very High / High / Medium / Low) to each company based on its sector's dependency on and impact on natural capital. Provides an ENCORE-based biodiversity proxy score used in portfolio construction.</w:t>
      </w:r>
    </w:p>
    <w:p>
      <w:pPr>
        <w:pStyle w:val="Heading3"/>
      </w:pPr>
      <w:r>
        <w:t>How it was built</w:t>
      </w:r>
    </w:p>
    <w:p>
      <w:r>
        <w:rPr>
          <w:b w:val="0"/>
          <w:i w:val="0"/>
        </w:rPr>
        <w:t>Two frameworks are applied at the sector level. ENCORE (Exploring Natural Capital Opportunities, Risks and Exposure) provides dependency scores mapping how much each sector relies on nature's provisioning and regulating services. WRI Aqueduct provides water stress exposure scores by sector and geography. These are combined into a composite nature-risk score (0–5), which is then tiered. Very High nature risk is a hard exclusion trigger in Agent 11. The sector mapping uses the BICS Level 1 classification from the master dataset.</w:t>
      </w:r>
    </w:p>
    <w:p>
      <w:pPr>
        <w:pStyle w:val="Heading3"/>
      </w:pPr>
      <w:r>
        <w:t>Key output</w:t>
      </w:r>
    </w:p>
    <w:p>
      <w:pPr>
        <w:pStyle w:val="ListBullet"/>
      </w:pPr>
      <w:r>
        <w:t>outputs/scores/biodiversity_scores_YYYY-MM-DD.csv — biodiversity_score, nature_risk_tier, encore_score, aqueduct_score</w:t>
      </w:r>
    </w:p>
    <w:p/>
    <w:p>
      <w:pPr>
        <w:pStyle w:val="Heading2"/>
      </w:pPr>
      <w:r>
        <w:rPr>
          <w:color w:val="2E74B5"/>
        </w:rPr>
        <w:t>Agent 8 — EU Regulation (agent08_eu_regulation.ipynb)</w:t>
      </w:r>
    </w:p>
    <w:p>
      <w:pPr>
        <w:pStyle w:val="Heading3"/>
      </w:pPr>
      <w:r>
        <w:t>What it does</w:t>
      </w:r>
    </w:p>
    <w:p>
      <w:r>
        <w:rPr>
          <w:b w:val="0"/>
          <w:i w:val="0"/>
        </w:rPr>
        <w:t>Applies EU regulatory constraints: EU Taxonomy eligibility screening, SFDR Article 8 fund-level compliance documentation, and Principal Adverse Impact (PAI) indicator coverage analysis.</w:t>
      </w:r>
    </w:p>
    <w:p>
      <w:pPr>
        <w:pStyle w:val="Heading3"/>
      </w:pPr>
      <w:r>
        <w:t>How it was built</w:t>
      </w:r>
    </w:p>
    <w:p>
      <w:r>
        <w:rPr>
          <w:b w:val="0"/>
          <w:i w:val="0"/>
        </w:rPr>
        <w:t>EU Taxonomy data from the professor's legalEntityEuTaxonomy.csv is loaded and mapped to each company. Taxonomy eligibility (% of turnover eligible) is distinguished from taxonomy alignment (% actually aligned) — a critical distinction, as alignment data is sparse and must not be conflated with eligibility. The 18 mandatory SFDR Annex I PAI indicators are checked against available data columns, producing a coverage table for the report appendix. An Article 8 fund compliance checklist documents how the portfolio meets SFDR requirements.</w:t>
      </w:r>
    </w:p>
    <w:p>
      <w:pPr>
        <w:pStyle w:val="Heading3"/>
      </w:pPr>
      <w:r>
        <w:t>Key outputs</w:t>
      </w:r>
    </w:p>
    <w:p>
      <w:pPr>
        <w:pStyle w:val="ListBullet"/>
      </w:pPr>
      <w:r>
        <w:t>outputs/scores/eu_regulation_YYYY-MM-DD.csv — taxonomy eligibility, alignment, DNSH flags per company</w:t>
      </w:r>
    </w:p>
    <w:p>
      <w:pPr>
        <w:pStyle w:val="ListBullet"/>
      </w:pPr>
      <w:r>
        <w:t>outputs/scores/pai_indicators_YYYY-MM-DD.csv — PAI data availability table</w:t>
      </w:r>
    </w:p>
    <w:p>
      <w:pPr>
        <w:pStyle w:val="ListBullet"/>
      </w:pPr>
      <w:r>
        <w:t>outputs/scores/sfdr_compliance_YYYY-MM-DD.csv — Article 8 fund-level checklist</w:t>
      </w:r>
    </w:p>
    <w:p/>
    <w:p>
      <w:pPr>
        <w:pStyle w:val="Heading2"/>
      </w:pPr>
      <w:r>
        <w:rPr>
          <w:color w:val="2E74B5"/>
        </w:rPr>
        <w:t>Agent 4 — Document Intelligence (agent04_document_intelligence.ipynb)</w:t>
      </w:r>
    </w:p>
    <w:p>
      <w:pPr>
        <w:pStyle w:val="Heading3"/>
      </w:pPr>
      <w:r>
        <w:t>What it does</w:t>
      </w:r>
    </w:p>
    <w:p>
      <w:r>
        <w:rPr>
          <w:b w:val="0"/>
          <w:i w:val="0"/>
        </w:rPr>
        <w:t>Imports and structures the sustainability report extractions produced by the RAG Operator using Claude Projects. Acts as the bridge between manual document analysis and the automated pipeline.</w:t>
      </w:r>
    </w:p>
    <w:p>
      <w:pPr>
        <w:pStyle w:val="Heading3"/>
      </w:pPr>
      <w:r>
        <w:t>How it was built</w:t>
      </w:r>
    </w:p>
    <w:p>
      <w:r>
        <w:rPr>
          <w:b w:val="0"/>
          <w:i w:val="0"/>
        </w:rPr>
        <w:t>The RAG Operator uploads sustainability report PDFs (annual reports, TCFD disclosures, CSRD/ESRS filings) to Claude Projects — one project per Deep Review company (10–12 companies). Extractions are run using the structured 8-Test greenwashing prompt. Outputs are saved as JSON files in data/rag/ and outputs/rag/. Agent 4 reads these files and structures them into a unified extraction table for pipeline consumption.</w:t>
      </w:r>
    </w:p>
    <w:p>
      <w:pPr>
        <w:pStyle w:val="Heading3"/>
      </w:pPr>
      <w:r>
        <w:t>RAG vs internet search</w:t>
      </w:r>
    </w:p>
    <w:p>
      <w:r>
        <w:rPr>
          <w:b w:val="0"/>
          <w:i/>
        </w:rPr>
        <w:t>Claude Projects acts as a closed-domain retrieval system: Claude answers only from the uploaded PDFs, not from general internet knowledge. This prevents hallucination and ensures all claims are traceable to a specific document page.</w:t>
      </w:r>
    </w:p>
    <w:p>
      <w:pPr>
        <w:pStyle w:val="Heading3"/>
      </w:pPr>
      <w:r>
        <w:t>Key output</w:t>
      </w:r>
    </w:p>
    <w:p>
      <w:pPr>
        <w:pStyle w:val="ListBullet"/>
      </w:pPr>
      <w:r>
        <w:t>outputs/scores/rag_extractions_YYYY-MM-DD.csv — structured extractions per company</w:t>
      </w:r>
    </w:p>
    <w:p/>
    <w:p>
      <w:pPr>
        <w:pStyle w:val="Heading2"/>
      </w:pPr>
      <w:r>
        <w:rPr>
          <w:color w:val="2E74B5"/>
        </w:rPr>
        <w:t>Agent 9 — Greenwashing Detection (agent09_greenwashing.ipynb)</w:t>
      </w:r>
    </w:p>
    <w:p>
      <w:pPr>
        <w:pStyle w:val="Heading3"/>
      </w:pPr>
      <w:r>
        <w:t>What it does</w:t>
      </w:r>
    </w:p>
    <w:p>
      <w:r>
        <w:rPr>
          <w:b w:val="0"/>
          <w:i w:val="0"/>
        </w:rPr>
        <w:t>Applies the 8-Test greenwashing framework to all screened companies. Reads the RAG Operator's filled-in Excel workbook, converts entries to JSON, scores each company on 8 dimensions, and produces exclusion and watchlist flags.</w:t>
      </w:r>
    </w:p>
    <w:p>
      <w:pPr>
        <w:pStyle w:val="Heading3"/>
      </w:pPr>
      <w:r>
        <w:t>How it was built</w:t>
      </w:r>
    </w:p>
    <w:p>
      <w:r>
        <w:rPr>
          <w:b w:val="0"/>
          <w:i w:val="0"/>
        </w:rPr>
        <w:t>The 8-Test framework assesses: (1) Specificity, (2) Metric, (3) Baseline, (4) Target, (5) Time Horizon, (6) Scope, (7) External Validation, (8) Behavioural Consistency. Each dimension is rated LOW / MED / HIGH / MISSING for greenwashing risk. The RAG Screening Sheet (Excel workbook) is read automatically: each row is converted to a standard JSON format, then scored.</w:t>
      </w:r>
    </w:p>
    <w:p>
      <w:r>
        <w:rPr>
          <w:b w:val="0"/>
          <w:i w:val="0"/>
        </w:rPr>
        <w:t>Scoring rules: companies with HIGH on 3+ dimensions are flagged for exclusion. Companies with HIGH on exactly 2 dimensions are watchlisted. The greenwashing risk score (0–100%) feeds into Agent 11's composite score at 15% weight (inverted).</w:t>
      </w:r>
    </w:p>
    <w:p>
      <w:pPr>
        <w:pStyle w:val="Heading3"/>
      </w:pPr>
      <w:r>
        <w:t>Verification protocol</w:t>
      </w:r>
    </w:p>
    <w:p>
      <w:r>
        <w:rPr>
          <w:b w:val="0"/>
          <w:i w:val="0"/>
        </w:rPr>
        <w:t>30% of all extractions are manually verified by the RAG Operator against the source PDF with page references. 100% of watchlist and exclusion-driving extractions are independently verified before the flag is applied.</w:t>
      </w:r>
    </w:p>
    <w:p>
      <w:pPr>
        <w:pStyle w:val="Heading3"/>
      </w:pPr>
      <w:r>
        <w:t>Key outputs</w:t>
      </w:r>
    </w:p>
    <w:p>
      <w:pPr>
        <w:pStyle w:val="ListBullet"/>
      </w:pPr>
      <w:r>
        <w:t>outputs/scores/greenwashing_scores_YYYY-MM-DD.csv — 8-test ratings + score + exclude/watchlist flag</w:t>
      </w:r>
    </w:p>
    <w:p>
      <w:pPr>
        <w:pStyle w:val="ListBullet"/>
      </w:pPr>
      <w:r>
        <w:t>outputs/scores/greenwashing_exclusions_YYYY-MM-DD.csv — companies excluded with reason</w:t>
      </w:r>
    </w:p>
    <w:p>
      <w:pPr>
        <w:pStyle w:val="ListBullet"/>
      </w:pPr>
      <w:r>
        <w:t>outputs/scores/greenwashing_verification_YYYY-MM-DD.csv — verification audit trail</w:t>
      </w:r>
    </w:p>
    <w:p/>
    <w:p>
      <w:pPr>
        <w:pStyle w:val="Heading2"/>
      </w:pPr>
      <w:r>
        <w:rPr>
          <w:color w:val="2E74B5"/>
        </w:rPr>
        <w:t>Agent 11 — Portfolio Construction (agent11_portfolio_construction.ipynb)</w:t>
      </w:r>
    </w:p>
    <w:p>
      <w:pPr>
        <w:pStyle w:val="Heading3"/>
      </w:pPr>
      <w:r>
        <w:t>What it does</w:t>
      </w:r>
    </w:p>
    <w:p>
      <w:r>
        <w:rPr>
          <w:b w:val="0"/>
          <w:i w:val="0"/>
        </w:rPr>
        <w:t>The convergence point of the entire pipeline. Merges all upstream scores, applies all exclusion rules, ranks companies on a composite score, applies a correlation filter for diversification, selects the final 20 holdings, and assigns portfolio weights.</w:t>
      </w:r>
    </w:p>
    <w:p>
      <w:pPr>
        <w:pStyle w:val="Heading3"/>
      </w:pPr>
      <w:r>
        <w:t>How it was built</w:t>
      </w:r>
    </w:p>
    <w:p>
      <w:r>
        <w:rPr>
          <w:b w:val="0"/>
          <w:i w:val="0"/>
        </w:rPr>
        <w:t>Five data sources are merged on ticker: ESG scores (Agent 5/6), financial metrics (Agent 10), biodiversity scores (Agent 7), EU regulation scores (Agent 8), and greenwashing scores (Agent 9). All merges are optional and graceful — if a file is missing, the notebook warns and proceeds with reduced information.</w:t>
      </w:r>
    </w:p>
    <w:p>
      <w:pPr>
        <w:pStyle w:val="Heading3"/>
      </w:pPr>
      <w:r>
        <w:t>Exclusion rules (applied in order)</w:t>
      </w:r>
    </w:p>
    <w:tbl>
      <w:tblPr>
        <w:tblStyle w:val="TableGrid"/>
        <w:tblW w:type="auto" w:w="0"/>
        <w:tblLook w:firstColumn="1" w:firstRow="1" w:lastColumn="0" w:lastRow="0" w:noHBand="0" w:noVBand="1" w:val="04A0"/>
      </w:tblPr>
      <w:tblGrid>
        <w:gridCol w:w="2880"/>
        <w:gridCol w:w="2880"/>
        <w:gridCol w:w="2880"/>
      </w:tblGrid>
      <w:tr>
        <w:tc>
          <w:tcPr>
            <w:tcW w:type="dxa" w:w="2880"/>
            <w:shd w:fill="2E74B5" w:color="FFFFFF" w:val="clear"/>
          </w:tcPr>
          <w:p>
            <w:pPr>
              <w:jc w:val="center"/>
            </w:pPr>
            <w:r>
              <w:rPr>
                <w:b/>
                <w:color w:val="FFFFFF"/>
              </w:rPr>
              <w:t>Rule</w:t>
            </w:r>
          </w:p>
        </w:tc>
        <w:tc>
          <w:tcPr>
            <w:tcW w:type="dxa" w:w="2880"/>
            <w:shd w:fill="2E74B5" w:color="FFFFFF" w:val="clear"/>
          </w:tcPr>
          <w:p>
            <w:pPr>
              <w:jc w:val="center"/>
            </w:pPr>
            <w:r>
              <w:rPr>
                <w:b/>
                <w:color w:val="FFFFFF"/>
              </w:rPr>
              <w:t>Source</w:t>
            </w:r>
          </w:p>
        </w:tc>
        <w:tc>
          <w:tcPr>
            <w:tcW w:type="dxa" w:w="2880"/>
            <w:shd w:fill="2E74B5" w:color="FFFFFF" w:val="clear"/>
          </w:tcPr>
          <w:p>
            <w:pPr>
              <w:jc w:val="center"/>
            </w:pPr>
            <w:r>
              <w:rPr>
                <w:b/>
                <w:color w:val="FFFFFF"/>
              </w:rPr>
              <w:t>Threshold</w:t>
            </w:r>
          </w:p>
        </w:tc>
      </w:tr>
      <w:tr>
        <w:tc>
          <w:tcPr>
            <w:tcW w:type="dxa" w:w="2880"/>
            <w:shd w:fill="EBF3FB" w:val="clear"/>
          </w:tcPr>
          <w:p>
            <w:r>
              <w:t>Volatility cap</w:t>
            </w:r>
          </w:p>
        </w:tc>
        <w:tc>
          <w:tcPr>
            <w:tcW w:type="dxa" w:w="2880"/>
            <w:shd w:fill="EBF3FB" w:val="clear"/>
          </w:tcPr>
          <w:p>
            <w:r>
              <w:t>Agent 10</w:t>
            </w:r>
          </w:p>
        </w:tc>
        <w:tc>
          <w:tcPr>
            <w:tcW w:type="dxa" w:w="2880"/>
            <w:shd w:fill="EBF3FB" w:val="clear"/>
          </w:tcPr>
          <w:p>
            <w:r>
              <w:t>&gt; 40% annualised volatility</w:t>
            </w:r>
          </w:p>
        </w:tc>
      </w:tr>
      <w:tr>
        <w:tc>
          <w:tcPr>
            <w:tcW w:type="dxa" w:w="2880"/>
          </w:tcPr>
          <w:p>
            <w:r>
              <w:t>Greenwashing exclusion</w:t>
            </w:r>
          </w:p>
        </w:tc>
        <w:tc>
          <w:tcPr>
            <w:tcW w:type="dxa" w:w="2880"/>
          </w:tcPr>
          <w:p>
            <w:r>
              <w:t>Agent 9</w:t>
            </w:r>
          </w:p>
        </w:tc>
        <w:tc>
          <w:tcPr>
            <w:tcW w:type="dxa" w:w="2880"/>
          </w:tcPr>
          <w:p>
            <w:r>
              <w:t>HIGH rating on 3+ of 8 dimensions</w:t>
            </w:r>
          </w:p>
        </w:tc>
      </w:tr>
      <w:tr>
        <w:tc>
          <w:tcPr>
            <w:tcW w:type="dxa" w:w="2880"/>
            <w:shd w:fill="EBF3FB" w:val="clear"/>
          </w:tcPr>
          <w:p>
            <w:r>
              <w:t>Very High nature risk</w:t>
            </w:r>
          </w:p>
        </w:tc>
        <w:tc>
          <w:tcPr>
            <w:tcW w:type="dxa" w:w="2880"/>
            <w:shd w:fill="EBF3FB" w:val="clear"/>
          </w:tcPr>
          <w:p>
            <w:r>
              <w:t>Agent 7</w:t>
            </w:r>
          </w:p>
        </w:tc>
        <w:tc>
          <w:tcPr>
            <w:tcW w:type="dxa" w:w="2880"/>
            <w:shd w:fill="EBF3FB" w:val="clear"/>
          </w:tcPr>
          <w:p>
            <w:r>
              <w:t>nature_risk_tier = Very High</w:t>
            </w:r>
          </w:p>
        </w:tc>
      </w:tr>
      <w:tr>
        <w:tc>
          <w:tcPr>
            <w:tcW w:type="dxa" w:w="2880"/>
          </w:tcPr>
          <w:p>
            <w:r>
              <w:t>ESG floor</w:t>
            </w:r>
          </w:p>
        </w:tc>
        <w:tc>
          <w:tcPr>
            <w:tcW w:type="dxa" w:w="2880"/>
          </w:tcPr>
          <w:p>
            <w:r>
              <w:t>Agent 5/6</w:t>
            </w:r>
          </w:p>
        </w:tc>
        <w:tc>
          <w:tcPr>
            <w:tcW w:type="dxa" w:w="2880"/>
          </w:tcPr>
          <w:p>
            <w:r>
              <w:t>Bottom 10% of ESG scores</w:t>
            </w:r>
          </w:p>
        </w:tc>
      </w:tr>
      <w:tr>
        <w:tc>
          <w:tcPr>
            <w:tcW w:type="dxa" w:w="2880"/>
            <w:shd w:fill="EBF3FB" w:val="clear"/>
          </w:tcPr>
          <w:p>
            <w:r>
              <w:t>Negative Sharpe</w:t>
            </w:r>
          </w:p>
        </w:tc>
        <w:tc>
          <w:tcPr>
            <w:tcW w:type="dxa" w:w="2880"/>
            <w:shd w:fill="EBF3FB" w:val="clear"/>
          </w:tcPr>
          <w:p>
            <w:r>
              <w:t>Agent 10</w:t>
            </w:r>
          </w:p>
        </w:tc>
        <w:tc>
          <w:tcPr>
            <w:tcW w:type="dxa" w:w="2880"/>
            <w:shd w:fill="EBF3FB" w:val="clear"/>
          </w:tcPr>
          <w:p>
            <w:r>
              <w:t>Sharpe ratio &lt; 0</w:t>
            </w:r>
          </w:p>
        </w:tc>
      </w:tr>
      <w:tr>
        <w:tc>
          <w:tcPr>
            <w:tcW w:type="dxa" w:w="2880"/>
          </w:tcPr>
          <w:p>
            <w:r>
              <w:t>Manual overrides</w:t>
            </w:r>
          </w:p>
        </w:tc>
        <w:tc>
          <w:tcPr>
            <w:tcW w:type="dxa" w:w="2880"/>
          </w:tcPr>
          <w:p>
            <w:r>
              <w:t>Agent 12</w:t>
            </w:r>
          </w:p>
        </w:tc>
        <w:tc>
          <w:tcPr>
            <w:tcW w:type="dxa" w:w="2880"/>
          </w:tcPr>
          <w:p>
            <w:r>
              <w:t>Captain decision with rationale</w:t>
            </w:r>
          </w:p>
        </w:tc>
      </w:tr>
    </w:tbl>
    <w:p/>
    <w:p>
      <w:pPr>
        <w:pStyle w:val="Heading3"/>
      </w:pPr>
      <w:r>
        <w:t>Composite score weights</w:t>
      </w:r>
    </w:p>
    <w:tbl>
      <w:tblPr>
        <w:tblStyle w:val="TableGrid"/>
        <w:tblW w:type="auto" w:w="0"/>
        <w:tblLook w:firstColumn="1" w:firstRow="1" w:lastColumn="0" w:lastRow="0" w:noHBand="0" w:noVBand="1" w:val="04A0"/>
      </w:tblPr>
      <w:tblGrid>
        <w:gridCol w:w="2880"/>
        <w:gridCol w:w="2880"/>
        <w:gridCol w:w="2880"/>
      </w:tblGrid>
      <w:tr>
        <w:tc>
          <w:tcPr>
            <w:tcW w:type="dxa" w:w="2880"/>
            <w:shd w:fill="2E74B5" w:color="FFFFFF" w:val="clear"/>
          </w:tcPr>
          <w:p>
            <w:pPr>
              <w:jc w:val="center"/>
            </w:pPr>
            <w:r>
              <w:rPr>
                <w:b/>
                <w:color w:val="FFFFFF"/>
              </w:rPr>
              <w:t>Component</w:t>
            </w:r>
          </w:p>
        </w:tc>
        <w:tc>
          <w:tcPr>
            <w:tcW w:type="dxa" w:w="2880"/>
            <w:shd w:fill="2E74B5" w:color="FFFFFF" w:val="clear"/>
          </w:tcPr>
          <w:p>
            <w:pPr>
              <w:jc w:val="center"/>
            </w:pPr>
            <w:r>
              <w:rPr>
                <w:b/>
                <w:color w:val="FFFFFF"/>
              </w:rPr>
              <w:t>Weight</w:t>
            </w:r>
          </w:p>
        </w:tc>
        <w:tc>
          <w:tcPr>
            <w:tcW w:type="dxa" w:w="2880"/>
            <w:shd w:fill="2E74B5" w:color="FFFFFF" w:val="clear"/>
          </w:tcPr>
          <w:p>
            <w:pPr>
              <w:jc w:val="center"/>
            </w:pPr>
            <w:r>
              <w:rPr>
                <w:b/>
                <w:color w:val="FFFFFF"/>
              </w:rPr>
              <w:t>Source</w:t>
            </w:r>
          </w:p>
        </w:tc>
      </w:tr>
      <w:tr>
        <w:tc>
          <w:tcPr>
            <w:tcW w:type="dxa" w:w="2880"/>
            <w:shd w:fill="EBF3FB" w:val="clear"/>
          </w:tcPr>
          <w:p>
            <w:r>
              <w:t>ESG Score</w:t>
            </w:r>
          </w:p>
        </w:tc>
        <w:tc>
          <w:tcPr>
            <w:tcW w:type="dxa" w:w="2880"/>
            <w:shd w:fill="EBF3FB" w:val="clear"/>
          </w:tcPr>
          <w:p>
            <w:r>
              <w:t>55%</w:t>
            </w:r>
          </w:p>
        </w:tc>
        <w:tc>
          <w:tcPr>
            <w:tcW w:type="dxa" w:w="2880"/>
            <w:shd w:fill="EBF3FB" w:val="clear"/>
          </w:tcPr>
          <w:p>
            <w:r>
              <w:t>Agent 5/6 — SASB-weighted E/S/G</w:t>
            </w:r>
          </w:p>
        </w:tc>
      </w:tr>
      <w:tr>
        <w:tc>
          <w:tcPr>
            <w:tcW w:type="dxa" w:w="2880"/>
          </w:tcPr>
          <w:p>
            <w:r>
              <w:t>Sharpe Ratio (normalised)</w:t>
            </w:r>
          </w:p>
        </w:tc>
        <w:tc>
          <w:tcPr>
            <w:tcW w:type="dxa" w:w="2880"/>
          </w:tcPr>
          <w:p>
            <w:r>
              <w:t>30%</w:t>
            </w:r>
          </w:p>
        </w:tc>
        <w:tc>
          <w:tcPr>
            <w:tcW w:type="dxa" w:w="2880"/>
          </w:tcPr>
          <w:p>
            <w:r>
              <w:t>Agent 10 — return per unit of risk</w:t>
            </w:r>
          </w:p>
        </w:tc>
      </w:tr>
      <w:tr>
        <w:tc>
          <w:tcPr>
            <w:tcW w:type="dxa" w:w="2880"/>
            <w:shd w:fill="EBF3FB" w:val="clear"/>
          </w:tcPr>
          <w:p>
            <w:r>
              <w:t>Biodiversity (inverted)</w:t>
            </w:r>
          </w:p>
        </w:tc>
        <w:tc>
          <w:tcPr>
            <w:tcW w:type="dxa" w:w="2880"/>
            <w:shd w:fill="EBF3FB" w:val="clear"/>
          </w:tcPr>
          <w:p>
            <w:r>
              <w:t>10%</w:t>
            </w:r>
          </w:p>
        </w:tc>
        <w:tc>
          <w:tcPr>
            <w:tcW w:type="dxa" w:w="2880"/>
            <w:shd w:fill="EBF3FB" w:val="clear"/>
          </w:tcPr>
          <w:p>
            <w:r>
              <w:t>Agent 7 — lower risk = higher score</w:t>
            </w:r>
          </w:p>
        </w:tc>
      </w:tr>
      <w:tr>
        <w:tc>
          <w:tcPr>
            <w:tcW w:type="dxa" w:w="2880"/>
          </w:tcPr>
          <w:p>
            <w:r>
              <w:t>EU Taxonomy Eligibility</w:t>
            </w:r>
          </w:p>
        </w:tc>
        <w:tc>
          <w:tcPr>
            <w:tcW w:type="dxa" w:w="2880"/>
          </w:tcPr>
          <w:p>
            <w:r>
              <w:t>5%</w:t>
            </w:r>
          </w:p>
        </w:tc>
        <w:tc>
          <w:tcPr>
            <w:tcW w:type="dxa" w:w="2880"/>
          </w:tcPr>
          <w:p>
            <w:r>
              <w:t>Agent 8 — % taxonomy-eligible revenue</w:t>
            </w:r>
          </w:p>
        </w:tc>
      </w:tr>
    </w:tbl>
    <w:p/>
    <w:p>
      <w:pPr>
        <w:pStyle w:val="Heading3"/>
      </w:pPr>
      <w:r>
        <w:t>Correlation filter</w:t>
      </w:r>
    </w:p>
    <w:p>
      <w:r>
        <w:rPr>
          <w:b w:val="0"/>
          <w:i w:val="0"/>
        </w:rPr>
        <w:t>After ranking, a greedy correlation filter selects the final 20 holdings from the top 40 candidates. Each candidate is accepted only if its return correlation with all already-selected stocks is ≤0.85. This prevents near-duplicate exposures (e.g. two major French banks) from dominating the portfolio.</w:t>
      </w:r>
    </w:p>
    <w:p>
      <w:pPr>
        <w:pStyle w:val="Heading3"/>
      </w:pPr>
      <w:r>
        <w:t>Weight assignment</w:t>
      </w:r>
    </w:p>
    <w:p>
      <w:r>
        <w:rPr>
          <w:b w:val="0"/>
          <w:i w:val="0"/>
        </w:rPr>
        <w:t>Weights are proportional to composite score, subject to a 10% maximum per holding. Excess weight from capped stocks is redistributed to uncapped holdings proportionally, ensuring weights always sum to exactly 100%.</w:t>
      </w:r>
    </w:p>
    <w:p>
      <w:pPr>
        <w:pStyle w:val="Heading3"/>
      </w:pPr>
      <w:r>
        <w:t>Key outputs</w:t>
      </w:r>
    </w:p>
    <w:p>
      <w:pPr>
        <w:pStyle w:val="ListBullet"/>
      </w:pPr>
      <w:r>
        <w:t>outputs/portfolio/final_portfolio_YYYY-MM-DD.csv — 20 holdings with weights and all scores</w:t>
      </w:r>
    </w:p>
    <w:p>
      <w:pPr>
        <w:pStyle w:val="ListBullet"/>
      </w:pPr>
      <w:r>
        <w:t>outputs/portfolio/universe_scores_YYYY-MM-DD.csv — all eligible companies with composite scores</w:t>
      </w:r>
    </w:p>
    <w:p>
      <w:pPr>
        <w:pStyle w:val="ListBullet"/>
      </w:pPr>
      <w:r>
        <w:t>outputs/portfolio/exclusions.csv — full exclusion log with reasons</w:t>
      </w:r>
    </w:p>
    <w:p/>
    <w:p>
      <w:pPr>
        <w:pStyle w:val="Heading2"/>
      </w:pPr>
      <w:r>
        <w:rPr>
          <w:color w:val="2E74B5"/>
        </w:rPr>
        <w:t>Agent 12 — Human Review (agent12_human_review.ipynb)</w:t>
      </w:r>
    </w:p>
    <w:p>
      <w:pPr>
        <w:pStyle w:val="Heading3"/>
      </w:pPr>
      <w:r>
        <w:t>What it does</w:t>
      </w:r>
    </w:p>
    <w:p>
      <w:r>
        <w:rPr>
          <w:b w:val="0"/>
          <w:i w:val="0"/>
        </w:rPr>
        <w:t>Provides a structured interface for the investment team to review the final portfolio and document any manual overrides. Generates the AI Use Statement required by the assignment marking criteria.</w:t>
      </w:r>
    </w:p>
    <w:p>
      <w:pPr>
        <w:pStyle w:val="Heading3"/>
      </w:pPr>
      <w:r>
        <w:t>How it was built</w:t>
      </w:r>
    </w:p>
    <w:p>
      <w:r>
        <w:rPr>
          <w:b w:val="0"/>
          <w:i w:val="0"/>
        </w:rPr>
        <w:t>The final portfolio from Agent 11 is displayed for review. A structured override log allows the team to record decisions where human judgement diverges from the model — for example, including a company despite a watchlist flag because of additional qualitative information, or excluding a company despite a high score due to a recent controversy not yet captured in the data. Each override requires: ticker, action (include/exclude), reason, and decision-maker. The AI Use Statement documents which parts of the pipeline used AI tools, how outputs were verified, and limitations.</w:t>
      </w:r>
    </w:p>
    <w:p>
      <w:pPr>
        <w:pStyle w:val="Heading3"/>
      </w:pPr>
      <w:r>
        <w:t>Assignment requirement: ≥3 concrete override examples</w:t>
      </w:r>
    </w:p>
    <w:p>
      <w:r>
        <w:rPr>
          <w:b w:val="0"/>
          <w:i/>
        </w:rPr>
        <w:t>The Q&amp;A defence requires the team to explain at least three override decisions. These should be prepared in advance and entered into the override log before the presentation.</w:t>
      </w:r>
    </w:p>
    <w:p>
      <w:pPr>
        <w:pStyle w:val="Heading3"/>
      </w:pPr>
      <w:r>
        <w:t>Key outputs</w:t>
      </w:r>
    </w:p>
    <w:p>
      <w:pPr>
        <w:pStyle w:val="ListBullet"/>
      </w:pPr>
      <w:r>
        <w:t>outputs/portfolio/human_overrides_YYYY-MM-DD.csv — override decision log</w:t>
      </w:r>
    </w:p>
    <w:p>
      <w:pPr>
        <w:pStyle w:val="ListBullet"/>
      </w:pPr>
      <w:r>
        <w:t>outputs/reports/ai_use_statement_YYYY-MM-DD.txt — AI Use Statement</w:t>
      </w:r>
    </w:p>
    <w:p/>
    <w:p>
      <w:pPr>
        <w:pStyle w:val="Heading2"/>
      </w:pPr>
      <w:r>
        <w:rPr>
          <w:color w:val="2E74B5"/>
        </w:rPr>
        <w:t>Agent 13 — Reporting (agent13_reporting.ipynb)</w:t>
      </w:r>
    </w:p>
    <w:p>
      <w:pPr>
        <w:pStyle w:val="Heading3"/>
      </w:pPr>
      <w:r>
        <w:t>What it does</w:t>
      </w:r>
    </w:p>
    <w:p>
      <w:r>
        <w:rPr>
          <w:b w:val="0"/>
          <w:i w:val="0"/>
        </w:rPr>
        <w:t>Generates all charts and the portfolio factsheet from the final portfolio and universe scores. Outputs are PNG files ready for direct insertion into presentation slides and the written report.</w:t>
      </w:r>
    </w:p>
    <w:p>
      <w:pPr>
        <w:pStyle w:val="Heading3"/>
      </w:pPr>
      <w:r>
        <w:t>How it was built</w:t>
      </w:r>
    </w:p>
    <w:p>
      <w:r>
        <w:rPr>
          <w:b w:val="0"/>
          <w:i w:val="0"/>
        </w:rPr>
        <w:t>Three charts are produced using matplotlib: (1) Portfolio weights horizontal bar chart — all 20 holdings sorted by weight; (2) ESG score comparison — portfolio average vs full universe average across E, S, G, and aggregate; (3) Sector allocation pie chart — portfolio weight by BICS sector. A factsheet summary block is printed to stdout, showing number of holdings, weighted ESG score, weighted Sharpe ratio, WACI (portfolio-level carbon intensity weighted by portfolio weights), and comparison to the full universe ESG average. All charts are saved to outputs/reports/ as PNG files.</w:t>
      </w:r>
    </w:p>
    <w:p>
      <w:pPr>
        <w:pStyle w:val="Heading3"/>
      </w:pPr>
      <w:r>
        <w:t>Key outputs</w:t>
      </w:r>
    </w:p>
    <w:p>
      <w:pPr>
        <w:pStyle w:val="ListBullet"/>
      </w:pPr>
      <w:r>
        <w:t>outputs/reports/portfolio_weights.png</w:t>
      </w:r>
    </w:p>
    <w:p>
      <w:pPr>
        <w:pStyle w:val="ListBullet"/>
      </w:pPr>
      <w:r>
        <w:t>outputs/reports/esg_comparison.png</w:t>
      </w:r>
    </w:p>
    <w:p>
      <w:pPr>
        <w:pStyle w:val="ListBullet"/>
      </w:pPr>
      <w:r>
        <w:t>outputs/reports/sector_allocation.png</w:t>
      </w:r>
    </w:p>
    <w:p>
      <w:pPr>
        <w:pStyle w:val="ListBullet"/>
      </w:pPr>
      <w:r>
        <w:t>Factsheet metrics printed to screen — copy into slide deck or Word report</w:t>
      </w:r>
    </w:p>
    <w:p>
      <w:r>
        <w:br w:type="page"/>
      </w:r>
    </w:p>
    <w:p>
      <w:pPr>
        <w:pStyle w:val="Heading1"/>
      </w:pPr>
      <w:r>
        <w:rPr>
          <w:color w:val="1F497D"/>
        </w:rPr>
        <w:t>3. How All Agents Work Together</w:t>
      </w:r>
    </w:p>
    <w:p>
      <w:pPr>
        <w:pStyle w:val="Heading2"/>
      </w:pPr>
      <w:r>
        <w:rPr>
          <w:color w:val="2E74B5"/>
        </w:rPr>
        <w:t>3.1 The File-Based Handoff System</w:t>
      </w:r>
    </w:p>
    <w:p>
      <w:r>
        <w:rPr>
          <w:b w:val="0"/>
          <w:i w:val="0"/>
        </w:rPr>
        <w:t>No agent calls another agent directly. Instead, every agent reads from and writes to CSV/JSON files in the outputs/ folder. This design has three advantages: (1) any single notebook can be re-run without re-running the entire pipeline; (2) outputs can be inspected in Excel or a text editor at any point; (3) the pipeline is reproducible — running the same notebooks in order always produces the same results from the same input data.</w:t>
      </w:r>
    </w:p>
    <w:p>
      <w:pPr>
        <w:pStyle w:val="Heading2"/>
      </w:pPr>
      <w:r>
        <w:rPr>
          <w:color w:val="2E74B5"/>
        </w:rPr>
        <w:t>3.2 The Role of Manual Steps</w:t>
      </w:r>
    </w:p>
    <w:p>
      <w:r>
        <w:rPr>
          <w:b w:val="0"/>
          <w:i w:val="0"/>
        </w:rPr>
        <w:t>Two steps require human involvement: Agent 4 (Document Intelligence) and the RAG Screening Sheet. These are placed strategically after all automated scoring agents (5/6, 7, 8) so the RAG Operator knows which companies are likely holdings before deciding which 10–12 companies deserve full PDF extraction (Deep Review). This prevents wasted effort on companies that will be excluded by other screens.</w:t>
      </w:r>
    </w:p>
    <w:p>
      <w:pPr>
        <w:pStyle w:val="Heading2"/>
      </w:pPr>
      <w:r>
        <w:rPr>
          <w:color w:val="2E74B5"/>
        </w:rPr>
        <w:t>3.3 Graceful Degradation</w:t>
      </w:r>
    </w:p>
    <w:p>
      <w:r>
        <w:rPr>
          <w:b w:val="0"/>
          <w:i w:val="0"/>
        </w:rPr>
        <w:t>Agent 11 (Portfolio Construction) is designed to run even if upstream agents have not yet produced output. If biodiversity scores, EU regulation data, or greenwashing scores are missing, Agent 11 warns and proceeds with the available data, redistributing weights accordingly. This means the portfolio can be constructed and refined iteratively as more agents complete.</w:t>
      </w:r>
    </w:p>
    <w:p>
      <w:pPr>
        <w:pStyle w:val="Heading2"/>
      </w:pPr>
      <w:r>
        <w:rPr>
          <w:color w:val="2E74B5"/>
        </w:rPr>
        <w:t>3.4 Data Lineage</w:t>
      </w:r>
    </w:p>
    <w:p>
      <w:r>
        <w:rPr>
          <w:b w:val="0"/>
          <w:i w:val="0"/>
        </w:rPr>
        <w:t>The table below shows which agents produce and consume each key data file:</w:t>
      </w:r>
    </w:p>
    <w:tbl>
      <w:tblPr>
        <w:tblStyle w:val="TableGrid"/>
        <w:tblW w:type="auto" w:w="0"/>
        <w:tblLook w:firstColumn="1" w:firstRow="1" w:lastColumn="0" w:lastRow="0" w:noHBand="0" w:noVBand="1" w:val="04A0"/>
      </w:tblPr>
      <w:tblGrid>
        <w:gridCol w:w="2880"/>
        <w:gridCol w:w="2880"/>
        <w:gridCol w:w="2880"/>
      </w:tblGrid>
      <w:tr>
        <w:tc>
          <w:tcPr>
            <w:tcW w:type="dxa" w:w="2880"/>
            <w:shd w:fill="2E74B5" w:color="FFFFFF" w:val="clear"/>
          </w:tcPr>
          <w:p>
            <w:pPr>
              <w:jc w:val="center"/>
            </w:pPr>
            <w:r>
              <w:rPr>
                <w:b/>
                <w:color w:val="FFFFFF"/>
              </w:rPr>
              <w:t>File</w:t>
            </w:r>
          </w:p>
        </w:tc>
        <w:tc>
          <w:tcPr>
            <w:tcW w:type="dxa" w:w="2880"/>
            <w:shd w:fill="2E74B5" w:color="FFFFFF" w:val="clear"/>
          </w:tcPr>
          <w:p>
            <w:pPr>
              <w:jc w:val="center"/>
            </w:pPr>
            <w:r>
              <w:rPr>
                <w:b/>
                <w:color w:val="FFFFFF"/>
              </w:rPr>
              <w:t>Produced by</w:t>
            </w:r>
          </w:p>
        </w:tc>
        <w:tc>
          <w:tcPr>
            <w:tcW w:type="dxa" w:w="2880"/>
            <w:shd w:fill="2E74B5" w:color="FFFFFF" w:val="clear"/>
          </w:tcPr>
          <w:p>
            <w:pPr>
              <w:jc w:val="center"/>
            </w:pPr>
            <w:r>
              <w:rPr>
                <w:b/>
                <w:color w:val="FFFFFF"/>
              </w:rPr>
              <w:t>Consumed by</w:t>
            </w:r>
          </w:p>
        </w:tc>
      </w:tr>
      <w:tr>
        <w:tc>
          <w:tcPr>
            <w:tcW w:type="dxa" w:w="2880"/>
            <w:shd w:fill="EBF3FB" w:val="clear"/>
          </w:tcPr>
          <w:p>
            <w:r>
              <w:t>master_dataset_*.csv</w:t>
            </w:r>
          </w:p>
        </w:tc>
        <w:tc>
          <w:tcPr>
            <w:tcW w:type="dxa" w:w="2880"/>
            <w:shd w:fill="EBF3FB" w:val="clear"/>
          </w:tcPr>
          <w:p>
            <w:r>
              <w:t>Agent 2</w:t>
            </w:r>
          </w:p>
        </w:tc>
        <w:tc>
          <w:tcPr>
            <w:tcW w:type="dxa" w:w="2880"/>
            <w:shd w:fill="EBF3FB" w:val="clear"/>
          </w:tcPr>
          <w:p>
            <w:r>
              <w:t>Agents 3, 5/6, 7, 8, 10</w:t>
            </w:r>
          </w:p>
        </w:tc>
      </w:tr>
      <w:tr>
        <w:tc>
          <w:tcPr>
            <w:tcW w:type="dxa" w:w="2880"/>
          </w:tcPr>
          <w:p>
            <w:r>
              <w:t>prices_*.csv</w:t>
            </w:r>
          </w:p>
        </w:tc>
        <w:tc>
          <w:tcPr>
            <w:tcW w:type="dxa" w:w="2880"/>
          </w:tcPr>
          <w:p>
            <w:r>
              <w:t>Agent 2</w:t>
            </w:r>
          </w:p>
        </w:tc>
        <w:tc>
          <w:tcPr>
            <w:tcW w:type="dxa" w:w="2880"/>
          </w:tcPr>
          <w:p>
            <w:r>
              <w:t>Agent 10</w:t>
            </w:r>
          </w:p>
        </w:tc>
      </w:tr>
      <w:tr>
        <w:tc>
          <w:tcPr>
            <w:tcW w:type="dxa" w:w="2880"/>
            <w:shd w:fill="EBF3FB" w:val="clear"/>
          </w:tcPr>
          <w:p>
            <w:r>
              <w:t>financial_metrics_*.csv</w:t>
            </w:r>
          </w:p>
        </w:tc>
        <w:tc>
          <w:tcPr>
            <w:tcW w:type="dxa" w:w="2880"/>
            <w:shd w:fill="EBF3FB" w:val="clear"/>
          </w:tcPr>
          <w:p>
            <w:r>
              <w:t>Agent 10</w:t>
            </w:r>
          </w:p>
        </w:tc>
        <w:tc>
          <w:tcPr>
            <w:tcW w:type="dxa" w:w="2880"/>
            <w:shd w:fill="EBF3FB" w:val="clear"/>
          </w:tcPr>
          <w:p>
            <w:r>
              <w:t>Agent 11</w:t>
            </w:r>
          </w:p>
        </w:tc>
      </w:tr>
      <w:tr>
        <w:tc>
          <w:tcPr>
            <w:tcW w:type="dxa" w:w="2880"/>
          </w:tcPr>
          <w:p>
            <w:r>
              <w:t>financial_exclusions_*.csv</w:t>
            </w:r>
          </w:p>
        </w:tc>
        <w:tc>
          <w:tcPr>
            <w:tcW w:type="dxa" w:w="2880"/>
          </w:tcPr>
          <w:p>
            <w:r>
              <w:t>Agent 10</w:t>
            </w:r>
          </w:p>
        </w:tc>
        <w:tc>
          <w:tcPr>
            <w:tcW w:type="dxa" w:w="2880"/>
          </w:tcPr>
          <w:p>
            <w:r>
              <w:t>Reference / report</w:t>
            </w:r>
          </w:p>
        </w:tc>
      </w:tr>
      <w:tr>
        <w:tc>
          <w:tcPr>
            <w:tcW w:type="dxa" w:w="2880"/>
            <w:shd w:fill="EBF3FB" w:val="clear"/>
          </w:tcPr>
          <w:p>
            <w:r>
              <w:t>esg_scores_*.csv</w:t>
            </w:r>
          </w:p>
        </w:tc>
        <w:tc>
          <w:tcPr>
            <w:tcW w:type="dxa" w:w="2880"/>
            <w:shd w:fill="EBF3FB" w:val="clear"/>
          </w:tcPr>
          <w:p>
            <w:r>
              <w:t>Agent 5/6</w:t>
            </w:r>
          </w:p>
        </w:tc>
        <w:tc>
          <w:tcPr>
            <w:tcW w:type="dxa" w:w="2880"/>
            <w:shd w:fill="EBF3FB" w:val="clear"/>
          </w:tcPr>
          <w:p>
            <w:r>
              <w:t>Agents 11, 13</w:t>
            </w:r>
          </w:p>
        </w:tc>
      </w:tr>
      <w:tr>
        <w:tc>
          <w:tcPr>
            <w:tcW w:type="dxa" w:w="2880"/>
          </w:tcPr>
          <w:p>
            <w:r>
              <w:t>biodiversity_scores_*.csv</w:t>
            </w:r>
          </w:p>
        </w:tc>
        <w:tc>
          <w:tcPr>
            <w:tcW w:type="dxa" w:w="2880"/>
          </w:tcPr>
          <w:p>
            <w:r>
              <w:t>Agent 7</w:t>
            </w:r>
          </w:p>
        </w:tc>
        <w:tc>
          <w:tcPr>
            <w:tcW w:type="dxa" w:w="2880"/>
          </w:tcPr>
          <w:p>
            <w:r>
              <w:t>Agent 11</w:t>
            </w:r>
          </w:p>
        </w:tc>
      </w:tr>
      <w:tr>
        <w:tc>
          <w:tcPr>
            <w:tcW w:type="dxa" w:w="2880"/>
            <w:shd w:fill="EBF3FB" w:val="clear"/>
          </w:tcPr>
          <w:p>
            <w:r>
              <w:t>eu_regulation_*.csv</w:t>
            </w:r>
          </w:p>
        </w:tc>
        <w:tc>
          <w:tcPr>
            <w:tcW w:type="dxa" w:w="2880"/>
            <w:shd w:fill="EBF3FB" w:val="clear"/>
          </w:tcPr>
          <w:p>
            <w:r>
              <w:t>Agent 8</w:t>
            </w:r>
          </w:p>
        </w:tc>
        <w:tc>
          <w:tcPr>
            <w:tcW w:type="dxa" w:w="2880"/>
            <w:shd w:fill="EBF3FB" w:val="clear"/>
          </w:tcPr>
          <w:p>
            <w:r>
              <w:t>Agent 11</w:t>
            </w:r>
          </w:p>
        </w:tc>
      </w:tr>
      <w:tr>
        <w:tc>
          <w:tcPr>
            <w:tcW w:type="dxa" w:w="2880"/>
          </w:tcPr>
          <w:p>
            <w:r>
              <w:t>rag_extractions_*.csv</w:t>
            </w:r>
          </w:p>
        </w:tc>
        <w:tc>
          <w:tcPr>
            <w:tcW w:type="dxa" w:w="2880"/>
          </w:tcPr>
          <w:p>
            <w:r>
              <w:t>Agent 4</w:t>
            </w:r>
          </w:p>
        </w:tc>
        <w:tc>
          <w:tcPr>
            <w:tcW w:type="dxa" w:w="2880"/>
          </w:tcPr>
          <w:p>
            <w:r>
              <w:t>Agent 7 (optional merge)</w:t>
            </w:r>
          </w:p>
        </w:tc>
      </w:tr>
      <w:tr>
        <w:tc>
          <w:tcPr>
            <w:tcW w:type="dxa" w:w="2880"/>
            <w:shd w:fill="EBF3FB" w:val="clear"/>
          </w:tcPr>
          <w:p>
            <w:r>
              <w:t>greenwashing_scores_*.csv</w:t>
            </w:r>
          </w:p>
        </w:tc>
        <w:tc>
          <w:tcPr>
            <w:tcW w:type="dxa" w:w="2880"/>
            <w:shd w:fill="EBF3FB" w:val="clear"/>
          </w:tcPr>
          <w:p>
            <w:r>
              <w:t>Agent 9</w:t>
            </w:r>
          </w:p>
        </w:tc>
        <w:tc>
          <w:tcPr>
            <w:tcW w:type="dxa" w:w="2880"/>
            <w:shd w:fill="EBF3FB" w:val="clear"/>
          </w:tcPr>
          <w:p>
            <w:r>
              <w:t>Agent 11</w:t>
            </w:r>
          </w:p>
        </w:tc>
      </w:tr>
      <w:tr>
        <w:tc>
          <w:tcPr>
            <w:tcW w:type="dxa" w:w="2880"/>
          </w:tcPr>
          <w:p>
            <w:r>
              <w:t>RAG_Screening_Sheet.xlsx</w:t>
            </w:r>
          </w:p>
        </w:tc>
        <w:tc>
          <w:tcPr>
            <w:tcW w:type="dxa" w:w="2880"/>
          </w:tcPr>
          <w:p>
            <w:r>
              <w:t>RAG Operator (manual)</w:t>
            </w:r>
          </w:p>
        </w:tc>
        <w:tc>
          <w:tcPr>
            <w:tcW w:type="dxa" w:w="2880"/>
          </w:tcPr>
          <w:p>
            <w:r>
              <w:t>Agent 9</w:t>
            </w:r>
          </w:p>
        </w:tc>
      </w:tr>
      <w:tr>
        <w:tc>
          <w:tcPr>
            <w:tcW w:type="dxa" w:w="2880"/>
            <w:shd w:fill="EBF3FB" w:val="clear"/>
          </w:tcPr>
          <w:p>
            <w:r>
              <w:t>final_portfolio_*.csv</w:t>
            </w:r>
          </w:p>
        </w:tc>
        <w:tc>
          <w:tcPr>
            <w:tcW w:type="dxa" w:w="2880"/>
            <w:shd w:fill="EBF3FB" w:val="clear"/>
          </w:tcPr>
          <w:p>
            <w:r>
              <w:t>Agent 11</w:t>
            </w:r>
          </w:p>
        </w:tc>
        <w:tc>
          <w:tcPr>
            <w:tcW w:type="dxa" w:w="2880"/>
            <w:shd w:fill="EBF3FB" w:val="clear"/>
          </w:tcPr>
          <w:p>
            <w:r>
              <w:t>Agents 12, 13</w:t>
            </w:r>
          </w:p>
        </w:tc>
      </w:tr>
      <w:tr>
        <w:tc>
          <w:tcPr>
            <w:tcW w:type="dxa" w:w="2880"/>
          </w:tcPr>
          <w:p>
            <w:r>
              <w:t>universe_scores_*.csv</w:t>
            </w:r>
          </w:p>
        </w:tc>
        <w:tc>
          <w:tcPr>
            <w:tcW w:type="dxa" w:w="2880"/>
          </w:tcPr>
          <w:p>
            <w:r>
              <w:t>Agent 11</w:t>
            </w:r>
          </w:p>
        </w:tc>
        <w:tc>
          <w:tcPr>
            <w:tcW w:type="dxa" w:w="2880"/>
          </w:tcPr>
          <w:p>
            <w:r>
              <w:t>Agent 13</w:t>
            </w:r>
          </w:p>
        </w:tc>
      </w:tr>
      <w:tr>
        <w:tc>
          <w:tcPr>
            <w:tcW w:type="dxa" w:w="2880"/>
            <w:shd w:fill="EBF3FB" w:val="clear"/>
          </w:tcPr>
          <w:p>
            <w:r>
              <w:t>mandate.json</w:t>
            </w:r>
          </w:p>
        </w:tc>
        <w:tc>
          <w:tcPr>
            <w:tcW w:type="dxa" w:w="2880"/>
            <w:shd w:fill="EBF3FB" w:val="clear"/>
          </w:tcPr>
          <w:p>
            <w:r>
              <w:t>Agent 1</w:t>
            </w:r>
          </w:p>
        </w:tc>
        <w:tc>
          <w:tcPr>
            <w:tcW w:type="dxa" w:w="2880"/>
            <w:shd w:fill="EBF3FB" w:val="clear"/>
          </w:tcPr>
          <w:p>
            <w:r>
              <w:t>Agents 8, 11, 12</w:t>
            </w:r>
          </w:p>
        </w:tc>
      </w:tr>
    </w:tbl>
    <w:p/>
    <w:p>
      <w:pPr>
        <w:pStyle w:val="Heading2"/>
      </w:pPr>
      <w:r>
        <w:rPr>
          <w:color w:val="2E74B5"/>
        </w:rPr>
        <w:t>3.5 Exclusion Logic Flow</w:t>
      </w:r>
    </w:p>
    <w:p>
      <w:r>
        <w:rPr>
          <w:b w:val="0"/>
          <w:i w:val="0"/>
        </w:rPr>
        <w:t>Companies can be excluded at multiple points in the pipeline. The exclusion logic is layered, with each layer adding to the exclusion log: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E74B5" w:color="FFFFFF" w:val="clear"/>
          </w:tcPr>
          <w:p>
            <w:pPr>
              <w:jc w:val="center"/>
            </w:pPr>
            <w:r>
              <w:rPr>
                <w:b/>
                <w:color w:val="FFFFFF"/>
              </w:rPr>
              <w:t>Layer</w:t>
            </w:r>
          </w:p>
        </w:tc>
        <w:tc>
          <w:tcPr>
            <w:tcW w:type="dxa" w:w="2160"/>
            <w:shd w:fill="2E74B5" w:color="FFFFFF" w:val="clear"/>
          </w:tcPr>
          <w:p>
            <w:pPr>
              <w:jc w:val="center"/>
            </w:pPr>
            <w:r>
              <w:rPr>
                <w:b/>
                <w:color w:val="FFFFFF"/>
              </w:rPr>
              <w:t>Agent</w:t>
            </w:r>
          </w:p>
        </w:tc>
        <w:tc>
          <w:tcPr>
            <w:tcW w:type="dxa" w:w="2160"/>
            <w:shd w:fill="2E74B5" w:color="FFFFFF" w:val="clear"/>
          </w:tcPr>
          <w:p>
            <w:pPr>
              <w:jc w:val="center"/>
            </w:pPr>
            <w:r>
              <w:rPr>
                <w:b/>
                <w:color w:val="FFFFFF"/>
              </w:rPr>
              <w:t>Rule</w:t>
            </w:r>
          </w:p>
        </w:tc>
        <w:tc>
          <w:tcPr>
            <w:tcW w:type="dxa" w:w="2160"/>
            <w:shd w:fill="2E74B5" w:color="FFFFFF" w:val="clear"/>
          </w:tcPr>
          <w:p>
            <w:pPr>
              <w:jc w:val="center"/>
            </w:pPr>
            <w:r>
              <w:rPr>
                <w:b/>
                <w:color w:val="FFFFFF"/>
              </w:rPr>
              <w:t>Companies affected (approx.)</w:t>
            </w:r>
          </w:p>
        </w:tc>
      </w:tr>
      <w:tr>
        <w:tc>
          <w:tcPr>
            <w:tcW w:type="dxa" w:w="2160"/>
            <w:shd w:fill="EBF3FB" w:val="clear"/>
          </w:tcPr>
          <w:p>
            <w:r>
              <w:t>1 — Vol cap</w:t>
            </w:r>
          </w:p>
        </w:tc>
        <w:tc>
          <w:tcPr>
            <w:tcW w:type="dxa" w:w="2160"/>
            <w:shd w:fill="EBF3FB" w:val="clear"/>
          </w:tcPr>
          <w:p>
            <w:r>
              <w:t>Agent 10</w:t>
            </w:r>
          </w:p>
        </w:tc>
        <w:tc>
          <w:tcPr>
            <w:tcW w:type="dxa" w:w="2160"/>
            <w:shd w:fill="EBF3FB" w:val="clear"/>
          </w:tcPr>
          <w:p>
            <w:r>
              <w:t>Annual volatility &gt; 40%</w:t>
            </w:r>
          </w:p>
        </w:tc>
        <w:tc>
          <w:tcPr>
            <w:tcW w:type="dxa" w:w="2160"/>
            <w:shd w:fill="EBF3FB" w:val="clear"/>
          </w:tcPr>
          <w:p>
            <w:r>
              <w:t>~23</w:t>
            </w:r>
          </w:p>
        </w:tc>
      </w:tr>
      <w:tr>
        <w:tc>
          <w:tcPr>
            <w:tcW w:type="dxa" w:w="2160"/>
          </w:tcPr>
          <w:p>
            <w:r>
              <w:t>2 — Greenwashing</w:t>
            </w:r>
          </w:p>
        </w:tc>
        <w:tc>
          <w:tcPr>
            <w:tcW w:type="dxa" w:w="2160"/>
          </w:tcPr>
          <w:p>
            <w:r>
              <w:t>Agent 9</w:t>
            </w:r>
          </w:p>
        </w:tc>
        <w:tc>
          <w:tcPr>
            <w:tcW w:type="dxa" w:w="2160"/>
          </w:tcPr>
          <w:p>
            <w:r>
              <w:t>HIGH on 3+ of 8 greenwashing tests</w:t>
            </w:r>
          </w:p>
        </w:tc>
        <w:tc>
          <w:tcPr>
            <w:tcW w:type="dxa" w:w="2160"/>
          </w:tcPr>
          <w:p>
            <w:r>
              <w:t>TBD (post RAG)</w:t>
            </w:r>
          </w:p>
        </w:tc>
      </w:tr>
      <w:tr>
        <w:tc>
          <w:tcPr>
            <w:tcW w:type="dxa" w:w="2160"/>
            <w:shd w:fill="EBF3FB" w:val="clear"/>
          </w:tcPr>
          <w:p>
            <w:r>
              <w:t>3 — Nature risk</w:t>
            </w:r>
          </w:p>
        </w:tc>
        <w:tc>
          <w:tcPr>
            <w:tcW w:type="dxa" w:w="2160"/>
            <w:shd w:fill="EBF3FB" w:val="clear"/>
          </w:tcPr>
          <w:p>
            <w:r>
              <w:t>Agent 7</w:t>
            </w:r>
          </w:p>
        </w:tc>
        <w:tc>
          <w:tcPr>
            <w:tcW w:type="dxa" w:w="2160"/>
            <w:shd w:fill="EBF3FB" w:val="clear"/>
          </w:tcPr>
          <w:p>
            <w:r>
              <w:t>Very High ENCORE nature risk tier</w:t>
            </w:r>
          </w:p>
        </w:tc>
        <w:tc>
          <w:tcPr>
            <w:tcW w:type="dxa" w:w="2160"/>
            <w:shd w:fill="EBF3FB" w:val="clear"/>
          </w:tcPr>
          <w:p>
            <w:r>
              <w:t>TBD</w:t>
            </w:r>
          </w:p>
        </w:tc>
      </w:tr>
      <w:tr>
        <w:tc>
          <w:tcPr>
            <w:tcW w:type="dxa" w:w="2160"/>
          </w:tcPr>
          <w:p>
            <w:r>
              <w:t>4 — ESG floor</w:t>
            </w:r>
          </w:p>
        </w:tc>
        <w:tc>
          <w:tcPr>
            <w:tcW w:type="dxa" w:w="2160"/>
          </w:tcPr>
          <w:p>
            <w:r>
              <w:t>Agent 11</w:t>
            </w:r>
          </w:p>
        </w:tc>
        <w:tc>
          <w:tcPr>
            <w:tcW w:type="dxa" w:w="2160"/>
          </w:tcPr>
          <w:p>
            <w:r>
              <w:t>Bottom 10% ESG score</w:t>
            </w:r>
          </w:p>
        </w:tc>
        <w:tc>
          <w:tcPr>
            <w:tcW w:type="dxa" w:w="2160"/>
          </w:tcPr>
          <w:p>
            <w:r>
              <w:t>~14</w:t>
            </w:r>
          </w:p>
        </w:tc>
      </w:tr>
      <w:tr>
        <w:tc>
          <w:tcPr>
            <w:tcW w:type="dxa" w:w="2160"/>
            <w:shd w:fill="EBF3FB" w:val="clear"/>
          </w:tcPr>
          <w:p>
            <w:r>
              <w:t>5 — Negative Sharpe</w:t>
            </w:r>
          </w:p>
        </w:tc>
        <w:tc>
          <w:tcPr>
            <w:tcW w:type="dxa" w:w="2160"/>
            <w:shd w:fill="EBF3FB" w:val="clear"/>
          </w:tcPr>
          <w:p>
            <w:r>
              <w:t>Agent 11</w:t>
            </w:r>
          </w:p>
        </w:tc>
        <w:tc>
          <w:tcPr>
            <w:tcW w:type="dxa" w:w="2160"/>
            <w:shd w:fill="EBF3FB" w:val="clear"/>
          </w:tcPr>
          <w:p>
            <w:r>
              <w:t>Sharpe ratio &lt; 0</w:t>
            </w:r>
          </w:p>
        </w:tc>
        <w:tc>
          <w:tcPr>
            <w:tcW w:type="dxa" w:w="2160"/>
            <w:shd w:fill="EBF3FB" w:val="clear"/>
          </w:tcPr>
          <w:p>
            <w:r>
              <w:t>TBD</w:t>
            </w:r>
          </w:p>
        </w:tc>
      </w:tr>
      <w:tr>
        <w:tc>
          <w:tcPr>
            <w:tcW w:type="dxa" w:w="2160"/>
          </w:tcPr>
          <w:p>
            <w:r>
              <w:t>6 — Manual override</w:t>
            </w:r>
          </w:p>
        </w:tc>
        <w:tc>
          <w:tcPr>
            <w:tcW w:type="dxa" w:w="2160"/>
          </w:tcPr>
          <w:p>
            <w:r>
              <w:t>Agent 12</w:t>
            </w:r>
          </w:p>
        </w:tc>
        <w:tc>
          <w:tcPr>
            <w:tcW w:type="dxa" w:w="2160"/>
          </w:tcPr>
          <w:p>
            <w:r>
              <w:t>Captain decision with rationale</w:t>
            </w:r>
          </w:p>
        </w:tc>
        <w:tc>
          <w:tcPr>
            <w:tcW w:type="dxa" w:w="2160"/>
          </w:tcPr>
          <w:p>
            <w:r>
              <w:t>≥3 for Q&amp;A</w:t>
            </w:r>
          </w:p>
        </w:tc>
      </w:tr>
    </w:tbl>
    <w:p/>
    <w:p>
      <w:pPr>
        <w:pStyle w:val="Heading2"/>
      </w:pPr>
      <w:r>
        <w:rPr>
          <w:color w:val="2E74B5"/>
        </w:rPr>
        <w:t>3.6 The Composite Score Formula</w:t>
      </w:r>
    </w:p>
    <w:p>
      <w:r>
        <w:rPr>
          <w:b w:val="0"/>
          <w:i w:val="0"/>
        </w:rPr>
        <w:t>The final ranking in Agent 11 uses the following formula:</w:t>
      </w:r>
    </w:p>
    <w:p>
      <w:r>
        <w:rPr>
          <w:b/>
          <w:color w:val="1F497D"/>
        </w:rPr>
        <w:t>Composite Score = (ESG Score × 55%) + (Sharpe Score × 30%) + (Biodiversity Score [inverted] × 10%) + (EU Taxonomy Eligibility × 5%)</w:t>
      </w:r>
    </w:p>
    <w:p>
      <w:r>
        <w:rPr>
          <w:b w:val="0"/>
          <w:i w:val="0"/>
        </w:rPr>
        <w:t>All components are normalised to 0–100 before weighting. The biodiversity score is inverted so that lower nature risk produces a higher score. If any component's data file is missing, its weight is redistributed proportionally to the remaining components.</w:t>
      </w:r>
    </w:p>
    <w:p>
      <w:r>
        <w:br w:type="page"/>
      </w:r>
    </w:p>
    <w:p>
      <w:pPr>
        <w:pStyle w:val="Heading1"/>
      </w:pPr>
      <w:r>
        <w:rPr>
          <w:color w:val="1F497D"/>
        </w:rPr>
        <w:t>4. Hallucination Controls &amp; Data Integrity</w:t>
      </w:r>
    </w:p>
    <w:tbl>
      <w:tblPr>
        <w:tblStyle w:val="TableGrid"/>
        <w:tblW w:type="auto" w:w="0"/>
        <w:tblLook w:firstColumn="1" w:firstRow="1" w:lastColumn="0" w:lastRow="0" w:noHBand="0" w:noVBand="1" w:val="04A0"/>
      </w:tblPr>
      <w:tblGrid>
        <w:gridCol w:w="4320"/>
        <w:gridCol w:w="4320"/>
      </w:tblGrid>
      <w:tr>
        <w:tc>
          <w:tcPr>
            <w:tcW w:type="dxa" w:w="4320"/>
            <w:shd w:fill="2E74B5" w:color="FFFFFF" w:val="clear"/>
          </w:tcPr>
          <w:p>
            <w:pPr>
              <w:jc w:val="center"/>
            </w:pPr>
            <w:r>
              <w:rPr>
                <w:b/>
                <w:color w:val="FFFFFF"/>
              </w:rPr>
              <w:t>Control</w:t>
            </w:r>
          </w:p>
        </w:tc>
        <w:tc>
          <w:tcPr>
            <w:tcW w:type="dxa" w:w="4320"/>
            <w:shd w:fill="2E74B5" w:color="FFFFFF" w:val="clear"/>
          </w:tcPr>
          <w:p>
            <w:pPr>
              <w:jc w:val="center"/>
            </w:pPr>
            <w:r>
              <w:rPr>
                <w:b/>
                <w:color w:val="FFFFFF"/>
              </w:rPr>
              <w:t>Where applied</w:t>
            </w:r>
          </w:p>
        </w:tc>
      </w:tr>
      <w:tr>
        <w:tc>
          <w:tcPr>
            <w:tcW w:type="dxa" w:w="4320"/>
            <w:shd w:fill="EBF3FB" w:val="clear"/>
          </w:tcPr>
          <w:p>
            <w:r>
              <w:t>Professor CSVs never modified — all outputs go to outputs/ folder</w:t>
            </w:r>
          </w:p>
        </w:tc>
        <w:tc>
          <w:tcPr>
            <w:tcW w:type="dxa" w:w="4320"/>
            <w:shd w:fill="EBF3FB" w:val="clear"/>
          </w:tcPr>
          <w:p>
            <w:r>
              <w:t>Agent 2</w:t>
            </w:r>
          </w:p>
        </w:tc>
      </w:tr>
      <w:tr>
        <w:tc>
          <w:tcPr>
            <w:tcW w:type="dxa" w:w="4320"/>
          </w:tcPr>
          <w:p>
            <w:r>
              <w:t>MISSING label used when information absent — never invented</w:t>
            </w:r>
          </w:p>
        </w:tc>
        <w:tc>
          <w:tcPr>
            <w:tcW w:type="dxa" w:w="4320"/>
          </w:tcPr>
          <w:p>
            <w:r>
              <w:t>Agent 9 / RAG Operator</w:t>
            </w:r>
          </w:p>
        </w:tc>
      </w:tr>
      <w:tr>
        <w:tc>
          <w:tcPr>
            <w:tcW w:type="dxa" w:w="4320"/>
            <w:shd w:fill="EBF3FB" w:val="clear"/>
          </w:tcPr>
          <w:p>
            <w:r>
              <w:t>30% random sample of RAG extractions manually verified against source PDF</w:t>
            </w:r>
          </w:p>
        </w:tc>
        <w:tc>
          <w:tcPr>
            <w:tcW w:type="dxa" w:w="4320"/>
            <w:shd w:fill="EBF3FB" w:val="clear"/>
          </w:tcPr>
          <w:p>
            <w:r>
              <w:t>Agent 9 / RAG Operator</w:t>
            </w:r>
          </w:p>
        </w:tc>
      </w:tr>
      <w:tr>
        <w:tc>
          <w:tcPr>
            <w:tcW w:type="dxa" w:w="4320"/>
          </w:tcPr>
          <w:p>
            <w:r>
              <w:t>100% of watchlist/exclusion-driving extractions independently verified</w:t>
            </w:r>
          </w:p>
        </w:tc>
        <w:tc>
          <w:tcPr>
            <w:tcW w:type="dxa" w:w="4320"/>
          </w:tcPr>
          <w:p>
            <w:r>
              <w:t>Agent 9 / RAG Operator</w:t>
            </w:r>
          </w:p>
        </w:tc>
      </w:tr>
      <w:tr>
        <w:tc>
          <w:tcPr>
            <w:tcW w:type="dxa" w:w="4320"/>
            <w:shd w:fill="EBF3FB" w:val="clear"/>
          </w:tcPr>
          <w:p>
            <w:r>
              <w:t>ESG ratings treated as indicators — not objective truth</w:t>
            </w:r>
          </w:p>
        </w:tc>
        <w:tc>
          <w:tcPr>
            <w:tcW w:type="dxa" w:w="4320"/>
            <w:shd w:fill="EBF3FB" w:val="clear"/>
          </w:tcPr>
          <w:p>
            <w:r>
              <w:t>Agents 5/6, 11</w:t>
            </w:r>
          </w:p>
        </w:tc>
      </w:tr>
      <w:tr>
        <w:tc>
          <w:tcPr>
            <w:tcW w:type="dxa" w:w="4320"/>
          </w:tcPr>
          <w:p>
            <w:r>
              <w:t>Taxonomy eligibility never conflated with reported alignment</w:t>
            </w:r>
          </w:p>
        </w:tc>
        <w:tc>
          <w:tcPr>
            <w:tcW w:type="dxa" w:w="4320"/>
          </w:tcPr>
          <w:p>
            <w:r>
              <w:t>Agent 8</w:t>
            </w:r>
          </w:p>
        </w:tc>
      </w:tr>
      <w:tr>
        <w:tc>
          <w:tcPr>
            <w:tcW w:type="dxa" w:w="4320"/>
            <w:shd w:fill="EBF3FB" w:val="clear"/>
          </w:tcPr>
          <w:p>
            <w:r>
              <w:t>Beta and Sharpe cross-checked against yfinance primary source</w:t>
            </w:r>
          </w:p>
        </w:tc>
        <w:tc>
          <w:tcPr>
            <w:tcW w:type="dxa" w:w="4320"/>
            <w:shd w:fill="EBF3FB" w:val="clear"/>
          </w:tcPr>
          <w:p>
            <w:r>
              <w:t>Agent 10</w:t>
            </w:r>
          </w:p>
        </w:tc>
      </w:tr>
      <w:tr>
        <w:tc>
          <w:tcPr>
            <w:tcW w:type="dxa" w:w="4320"/>
          </w:tcPr>
          <w:p>
            <w:r>
              <w:t>All data vintage-tagged with download date</w:t>
            </w:r>
          </w:p>
        </w:tc>
        <w:tc>
          <w:tcPr>
            <w:tcW w:type="dxa" w:w="4320"/>
          </w:tcPr>
          <w:p>
            <w:r>
              <w:t>Agents 2, 5/6, 10</w:t>
            </w:r>
          </w:p>
        </w:tc>
      </w:tr>
      <w:tr>
        <w:tc>
          <w:tcPr>
            <w:tcW w:type="dxa" w:w="4320"/>
            <w:shd w:fill="EBF3FB" w:val="clear"/>
          </w:tcPr>
          <w:p>
            <w:r>
              <w:t>Sustainalytics scores marked NaN where yfinance returns no data — not estimated</w:t>
            </w:r>
          </w:p>
        </w:tc>
        <w:tc>
          <w:tcPr>
            <w:tcW w:type="dxa" w:w="4320"/>
            <w:shd w:fill="EBF3FB" w:val="clear"/>
          </w:tcPr>
          <w:p>
            <w:r>
              <w:t>Agent 5/6</w:t>
            </w:r>
          </w:p>
        </w:tc>
      </w:tr>
    </w:tbl>
    <w:p/>
    <w:p>
      <w:pPr>
        <w:pStyle w:val="Heading1"/>
      </w:pPr>
      <w:r>
        <w:rPr>
          <w:color w:val="1F497D"/>
        </w:rPr>
        <w:t>5. Known Limitations</w:t>
      </w:r>
    </w:p>
    <w:tbl>
      <w:tblPr>
        <w:tblStyle w:val="TableGrid"/>
        <w:tblW w:type="auto" w:w="0"/>
        <w:tblLook w:firstColumn="1" w:firstRow="1" w:lastColumn="0" w:lastRow="0" w:noHBand="0" w:noVBand="1" w:val="04A0"/>
      </w:tblPr>
      <w:tblGrid>
        <w:gridCol w:w="2880"/>
        <w:gridCol w:w="2880"/>
        <w:gridCol w:w="2880"/>
      </w:tblGrid>
      <w:tr>
        <w:tc>
          <w:tcPr>
            <w:tcW w:type="dxa" w:w="2880"/>
            <w:shd w:fill="2E74B5" w:color="FFFFFF" w:val="clear"/>
          </w:tcPr>
          <w:p>
            <w:pPr>
              <w:jc w:val="center"/>
            </w:pPr>
            <w:r>
              <w:rPr>
                <w:b/>
                <w:color w:val="FFFFFF"/>
              </w:rPr>
              <w:t>Limitation</w:t>
            </w:r>
          </w:p>
        </w:tc>
        <w:tc>
          <w:tcPr>
            <w:tcW w:type="dxa" w:w="2880"/>
            <w:shd w:fill="2E74B5" w:color="FFFFFF" w:val="clear"/>
          </w:tcPr>
          <w:p>
            <w:pPr>
              <w:jc w:val="center"/>
            </w:pPr>
            <w:r>
              <w:rPr>
                <w:b/>
                <w:color w:val="FFFFFF"/>
              </w:rPr>
              <w:t>Impact</w:t>
            </w:r>
          </w:p>
        </w:tc>
        <w:tc>
          <w:tcPr>
            <w:tcW w:type="dxa" w:w="2880"/>
            <w:shd w:fill="2E74B5" w:color="FFFFFF" w:val="clear"/>
          </w:tcPr>
          <w:p>
            <w:pPr>
              <w:jc w:val="center"/>
            </w:pPr>
            <w:r>
              <w:rPr>
                <w:b/>
                <w:color w:val="FFFFFF"/>
              </w:rPr>
              <w:t>Mitigation</w:t>
            </w:r>
          </w:p>
        </w:tc>
      </w:tr>
      <w:tr>
        <w:tc>
          <w:tcPr>
            <w:tcW w:type="dxa" w:w="2880"/>
            <w:shd w:fill="EBF3FB" w:val="clear"/>
          </w:tcPr>
          <w:p>
            <w:r>
              <w:t>Sustainalytics scores unavailable via yfinance for European tickers</w:t>
            </w:r>
          </w:p>
        </w:tc>
        <w:tc>
          <w:tcPr>
            <w:tcW w:type="dxa" w:w="2880"/>
            <w:shd w:fill="EBF3FB" w:val="clear"/>
          </w:tcPr>
          <w:p>
            <w:r>
              <w:t>Triangulation uses 2 sources instead of 3</w:t>
            </w:r>
          </w:p>
        </w:tc>
        <w:tc>
          <w:tcPr>
            <w:tcW w:type="dxa" w:w="2880"/>
            <w:shd w:fill="EBF3FB" w:val="clear"/>
          </w:tcPr>
          <w:p>
            <w:r>
              <w:t>Bloomberg ESG Disclosure Score used as proxy third source</w:t>
            </w:r>
          </w:p>
        </w:tc>
      </w:tr>
      <w:tr>
        <w:tc>
          <w:tcPr>
            <w:tcW w:type="dxa" w:w="2880"/>
          </w:tcPr>
          <w:p>
            <w:r>
              <w:t>Beta calculation fails if benchmark ETF download times out</w:t>
            </w:r>
          </w:p>
        </w:tc>
        <w:tc>
          <w:tcPr>
            <w:tcW w:type="dxa" w:w="2880"/>
          </w:tcPr>
          <w:p>
            <w:r>
              <w:t>Beta filter produces NaN — all companies pass beta screen</w:t>
            </w:r>
          </w:p>
        </w:tc>
        <w:tc>
          <w:tcPr>
            <w:tcW w:type="dxa" w:w="2880"/>
          </w:tcPr>
          <w:p>
            <w:r>
              <w:t>Fallback tickers added; vol cap provides primary risk control</w:t>
            </w:r>
          </w:p>
        </w:tc>
      </w:tr>
      <w:tr>
        <w:tc>
          <w:tcPr>
            <w:tcW w:type="dxa" w:w="2880"/>
            <w:shd w:fill="EBF3FB" w:val="clear"/>
          </w:tcPr>
          <w:p>
            <w:r>
              <w:t>WACI uses company-level carbon intensity, not portfolio-market-cap weight</w:t>
            </w:r>
          </w:p>
        </w:tc>
        <w:tc>
          <w:tcPr>
            <w:tcW w:type="dxa" w:w="2880"/>
            <w:shd w:fill="EBF3FB" w:val="clear"/>
          </w:tcPr>
          <w:p>
            <w:r>
              <w:t>WACI is approximate — methodology note required in report</w:t>
            </w:r>
          </w:p>
        </w:tc>
        <w:tc>
          <w:tcPr>
            <w:tcW w:type="dxa" w:w="2880"/>
            <w:shd w:fill="EBF3FB" w:val="clear"/>
          </w:tcPr>
          <w:p>
            <w:r>
              <w:t>Documented in data dictionary as observed/estimated</w:t>
            </w:r>
          </w:p>
        </w:tc>
      </w:tr>
      <w:tr>
        <w:tc>
          <w:tcPr>
            <w:tcW w:type="dxa" w:w="2880"/>
          </w:tcPr>
          <w:p>
            <w:r>
              <w:t>EU Taxonomy alignment data sparse — most companies have eligibility only</w:t>
            </w:r>
          </w:p>
        </w:tc>
        <w:tc>
          <w:tcPr>
            <w:tcW w:type="dxa" w:w="2880"/>
          </w:tcPr>
          <w:p>
            <w:r>
              <w:t>Alignment cannot drive exclusions reliably</w:t>
            </w:r>
          </w:p>
        </w:tc>
        <w:tc>
          <w:tcPr>
            <w:tcW w:type="dxa" w:w="2880"/>
          </w:tcPr>
          <w:p>
            <w:r>
              <w:t>Only eligibility used in composite score; alignment flagged as supplementary</w:t>
            </w:r>
          </w:p>
        </w:tc>
      </w:tr>
      <w:tr>
        <w:tc>
          <w:tcPr>
            <w:tcW w:type="dxa" w:w="2880"/>
            <w:shd w:fill="EBF3FB" w:val="clear"/>
          </w:tcPr>
          <w:p>
            <w:r>
              <w:t>RAG extraction covers 10–12 Deep Review companies only</w:t>
            </w:r>
          </w:p>
        </w:tc>
        <w:tc>
          <w:tcPr>
            <w:tcW w:type="dxa" w:w="2880"/>
            <w:shd w:fill="EBF3FB" w:val="clear"/>
          </w:tcPr>
          <w:p>
            <w:r>
              <w:t>Greenwashing screen not applied to all 167 companies</w:t>
            </w:r>
          </w:p>
        </w:tc>
        <w:tc>
          <w:tcPr>
            <w:tcW w:type="dxa" w:w="2880"/>
            <w:shd w:fill="EBF3FB" w:val="clear"/>
          </w:tcPr>
          <w:p>
            <w:r>
              <w:t>Remaining companies screened via automated ESG triangulation</w:t>
            </w:r>
          </w:p>
        </w:tc>
      </w:tr>
      <w:tr>
        <w:tc>
          <w:tcPr>
            <w:tcW w:type="dxa" w:w="2880"/>
          </w:tcPr>
          <w:p>
            <w:r>
              <w:t>Human override log does not automatically update final portfolio file</w:t>
            </w:r>
          </w:p>
        </w:tc>
        <w:tc>
          <w:tcPr>
            <w:tcW w:type="dxa" w:w="2880"/>
          </w:tcPr>
          <w:p>
            <w:r>
              <w:t>Overrides are recorded but require manual re-run of Agent 11</w:t>
            </w:r>
          </w:p>
        </w:tc>
        <w:tc>
          <w:tcPr>
            <w:tcW w:type="dxa" w:w="2880"/>
          </w:tcPr>
          <w:p>
            <w:r>
              <w:t>Document overrides in Agent 12 and note in Q&amp;A defence</w:t>
            </w:r>
          </w:p>
        </w:tc>
      </w:tr>
    </w:tbl>
    <w:p/>
    <w:p/>
    <w:p>
      <w:pPr>
        <w:jc w:val="center"/>
      </w:pPr>
      <w:r>
        <w:rPr>
          <w:i/>
          <w:color w:val="808080"/>
          <w:sz w:val="18"/>
        </w:rPr>
        <w:t>ESADE MSc Finance — Sustainable Finance Group Assignment | Academic Prototype — Not Investment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