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Portfolio</w:t>
      </w:r>
    </w:p>
    <w:p>
      <w:r>
        <w:rPr>
          <w:b/>
        </w:rPr>
        <w:t xml:space="preserve">ESADE Sustainable European Equity Fund   </w:t>
      </w:r>
      <w:r>
        <w:rPr>
          <w:i/>
        </w:rPr>
        <w:t>·  20 long-only European equity holdings  ·  benchmark STOXX Europe 600  ·  data vintage 2026-05-21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b/>
              </w:rPr>
              <w:t>Number of holdings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Sectors represented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7  (mandate minimum 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Largest sector weight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25.0%  (ceiling 25%)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Largest single holding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5.0%  (ceiling 10%)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Weighted ESG score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82.4 / 100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Weighted financial score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62.3 / 100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Weighted Sharpe ratio (5y)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0.62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WACI (carbon intensity)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163 tCO2e/$M revenue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Greenwashing 8-Test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20/20 PASS  (0 excluded, 0 watchlisted)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Holdings with an IC override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9 of 20</w:t>
            </w:r>
          </w:p>
        </w:tc>
      </w:tr>
    </w:tbl>
    <w:p>
      <w:pPr>
        <w:pStyle w:val="Heading2"/>
      </w:pPr>
      <w:r>
        <w:t>Holdings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576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60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Company</w:t>
            </w:r>
          </w:p>
        </w:tc>
        <w:tc>
          <w:tcPr>
            <w:tcW w:type="dxa" w:w="1152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Ticker</w:t>
            </w:r>
          </w:p>
        </w:tc>
        <w:tc>
          <w:tcPr>
            <w:tcW w:type="dxa" w:w="288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Sector</w:t>
            </w:r>
          </w:p>
        </w:tc>
        <w:tc>
          <w:tcPr>
            <w:tcW w:type="dxa" w:w="1152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864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ESG</w:t>
            </w:r>
          </w:p>
        </w:tc>
        <w:tc>
          <w:tcPr>
            <w:tcW w:type="dxa" w:w="1224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Financial</w:t>
            </w:r>
          </w:p>
        </w:tc>
        <w:tc>
          <w:tcPr>
            <w:tcW w:type="dxa" w:w="1368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Composite</w:t>
            </w:r>
          </w:p>
        </w:tc>
        <w:tc>
          <w:tcPr>
            <w:tcW w:type="dxa" w:w="1008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8-Test</w:t>
            </w:r>
          </w:p>
        </w:tc>
        <w:tc>
          <w:tcPr>
            <w:tcW w:type="dxa" w:w="2016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IC review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Zurich Insurance Group Ltd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ZURN.SW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96.6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81.8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87.7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12.5%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SBM Offshore NV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SBMO.AS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97.0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78.0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85.6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25.0%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Swedish Orphan Biovitrum AB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SOBI.ST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65.8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58.3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61.3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Orion Oyj Class 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ORNBV.HE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69.6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56.4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61.7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Industria de Diseno Textil,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ITX.MC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Consumer Goods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70.0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57.6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62.6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Tele2 AB Class 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TEL2-B.ST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Technology &amp; Communications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65.0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61.4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62.8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Norsk Hydro ASA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NHY.OL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99.2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39.4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63.3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Alfa Laval AB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ALFA.ST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Resource Transformation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99.6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42.4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65.3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Lloyds Banking Group plc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LLOY.L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97.5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46.2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66.7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12.5%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Aegon Ltd.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AGN.AS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98.3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45.8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66.8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12.5%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AstraZeneca PLC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AZN.L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75.9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63.6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68.6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UCB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UCB.BR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85.2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57.6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68.6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AIB Group plc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A5G.IR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97.9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54.5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71.9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E.ON SE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EOAN.DE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73.0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72.0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72.4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Galenica AG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GALE.SW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71.7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73.5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72.8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25.0%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MONITOR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MERLIN Properties SOCIMI,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MRL.MC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74.7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72.7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73.5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Klepierre SA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LI.PA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83.5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70.5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75.7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ABB Ltd.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ABBN.SW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Resource Transformation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86.1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68.9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75.8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Swiss Prime Site AG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SPSN.SW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85.7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84.8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85.2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31.2%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Subsea 7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SUBC.OL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5.00%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55.7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61.4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59.1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37.5%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  <w:shd w:val="clear" w:color="auto" w:fill="EAF0F6"/>
          </w:tcPr>
          <w:p/>
        </w:tc>
        <w:tc>
          <w:tcPr>
            <w:tcW w:type="dxa" w:w="3600"/>
            <w:shd w:val="clear" w:color="auto" w:fill="EAF0F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152"/>
            <w:shd w:val="clear" w:color="auto" w:fill="EAF0F6"/>
          </w:tcPr>
          <w:p/>
        </w:tc>
        <w:tc>
          <w:tcPr>
            <w:tcW w:type="dxa" w:w="2880"/>
            <w:shd w:val="clear" w:color="auto" w:fill="EAF0F6"/>
          </w:tcPr>
          <w:p/>
        </w:tc>
        <w:tc>
          <w:tcPr>
            <w:tcW w:type="dxa" w:w="1152"/>
            <w:shd w:val="clear" w:color="auto" w:fill="EAF0F6"/>
          </w:tcPr>
          <w:p>
            <w:pPr>
              <w:jc w:val="right"/>
            </w:pPr>
            <w:r/>
            <w:r>
              <w:rPr>
                <w:b/>
              </w:rPr>
              <w:t>100.0%</w:t>
            </w:r>
          </w:p>
        </w:tc>
        <w:tc>
          <w:tcPr>
            <w:tcW w:type="dxa" w:w="864"/>
            <w:shd w:val="clear" w:color="auto" w:fill="EAF0F6"/>
          </w:tcPr>
          <w:p/>
        </w:tc>
        <w:tc>
          <w:tcPr>
            <w:tcW w:type="dxa" w:w="1224"/>
            <w:shd w:val="clear" w:color="auto" w:fill="EAF0F6"/>
          </w:tcPr>
          <w:p/>
        </w:tc>
        <w:tc>
          <w:tcPr>
            <w:tcW w:type="dxa" w:w="1368"/>
            <w:shd w:val="clear" w:color="auto" w:fill="EAF0F6"/>
          </w:tcPr>
          <w:p/>
        </w:tc>
        <w:tc>
          <w:tcPr>
            <w:tcW w:type="dxa" w:w="1008"/>
            <w:shd w:val="clear" w:color="auto" w:fill="EAF0F6"/>
          </w:tcPr>
          <w:p/>
        </w:tc>
        <w:tc>
          <w:tcPr>
            <w:tcW w:type="dxa" w:w="2016"/>
            <w:shd w:val="clear" w:color="auto" w:fill="EAF0F6"/>
          </w:tcPr>
          <w:p/>
        </w:tc>
      </w:tr>
    </w:tbl>
    <w:p/>
    <w:p>
      <w:r>
        <w:rPr>
          <w:b/>
        </w:rPr>
        <w:t xml:space="preserve">Method.  </w:t>
      </w:r>
      <w:r>
        <w:rPr>
          <w:i/>
        </w:rPr>
        <w:t>Holdings are selected from a sector-capped 40-company ESG shortlist by a composite score (60% financial quality + 40% ESG), with a hard max-5-holdings-per-sector cap and a 0.90 return-correlation guard. The 20 holdings are then equal-weighted at 5% each — the weighting scheme that ranked first of six in the optimisation backtest. ESG, Financial and Composite are 0–100 scores; 8-Test is the greenwashing concern score (0% = clean, 100% = severe).</w:t>
      </w:r>
    </w:p>
    <w:p>
      <w:pPr>
        <w:pStyle w:val="Heading2"/>
      </w:pPr>
      <w:r>
        <w:t>Sector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320"/>
          </w:tcPr>
          <w:p>
            <w:r/>
            <w:r>
              <w:rPr>
                <w:b/>
              </w:rPr>
              <w:t>Sector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Holdings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25.0%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20.0%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20.0%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15.0%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Resource Transformation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10.0%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Consumer Goods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5.0%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Technology &amp; Communications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5.0%</w:t>
            </w:r>
          </w:p>
        </w:tc>
      </w:tr>
    </w:tbl>
    <w:p/>
    <w:p>
      <w:r>
        <w:rPr>
          <w:i/>
          <w:color w:val="808080"/>
          <w:sz w:val="17"/>
        </w:rPr>
        <w:t>Academic prototype — not a regulated investment product or investment advice. ESADE MSc Finance, final group assignment.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