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Results Summary</w:t>
      </w:r>
    </w:p>
    <w:p>
      <w:r>
        <w:rPr>
          <w:b/>
        </w:rPr>
        <w:t xml:space="preserve">ESADE Sustainable European Equity Fund   </w:t>
      </w:r>
      <w:r>
        <w:rPr>
          <w:i/>
        </w:rPr>
        <w:t>·  ESADE MSc Finance  ·  data vintage 2026-05-27</w:t>
      </w:r>
    </w:p>
    <w:p>
      <w:r>
        <w:rPr>
          <w:b/>
        </w:rPr>
        <w:t xml:space="preserve">Scope.  </w:t>
      </w:r>
      <w:r>
        <w:t>The eleven required outputs for the 20-stock long-only European equity portfolio, benchmarked to the STOXX Europe 600. Every figure is read from the pipeline outputs. Academic prototype — not investment advice.</w:t>
      </w:r>
    </w:p>
    <w:p>
      <w:pPr>
        <w:pStyle w:val="Heading1"/>
      </w:pPr>
      <w:r>
        <w:t>1. Final holdings and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04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6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00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Ticker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Sector (SASB)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Country</w:t>
            </w:r>
          </w:p>
        </w:tc>
        <w:tc>
          <w:tcPr>
            <w:tcW w:type="dxa" w:w="108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Zurich Insurance Group Ltd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ZURN.SW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6.20%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SBM Offshore NV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SBMO.AS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Netherlands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6.08%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Swiss Prime Site AG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SPSN.SW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6.05%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ABB Ltd.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ABBN.SW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Resource Transformation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5.39%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Klepierre SA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LI.PA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France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5.38%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MERLIN Properties SOCIMI,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MRL.MC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Spain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5.22%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Galenica AG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GALE.SW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5.17%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E.ON SE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EOAN.DE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Germany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5.14%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AIB Group plc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A5G.IR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Ireland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5.11%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UCB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UCB.BR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Belgium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AstraZeneca PLC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AZN.L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4.87%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Aegon Ltd.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AGN.AS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Netherlands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4.75%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Lloyds Banking Group plc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LLOY.L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4.74%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Alfa Laval AB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ALFA.ST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Resource Transformation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4.64%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Norsk Hydro ASA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NHY.OL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Norway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4.50%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Industria de Diseno Textil,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ITX.MC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Spain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4.48%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Tele2 AB Class 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TEL2-B.ST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4.46%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Orion Oyj Class 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ORNBV.HE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Finland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4.38%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Swedish Orphan Biovitrum AB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SOBI.ST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4.36%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Subsea 7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SUBC.OL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Luxembourg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4.20%</w:t>
            </w:r>
          </w:p>
        </w:tc>
      </w:tr>
      <w:tr>
        <w:tc>
          <w:tcPr>
            <w:tcW w:type="dxa" w:w="504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2664"/>
            <w:shd w:val="clear" w:color="auto" w:fill="EAF0F6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008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2448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440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80"/>
            <w:shd w:val="clear" w:color="auto" w:fill="EAF0F6"/>
          </w:tcPr>
          <w:p>
            <w:r/>
            <w:r>
              <w:rPr>
                <w:b/>
                <w:sz w:val="17"/>
              </w:rPr>
              <w:t>100.0%</w:t>
            </w:r>
          </w:p>
        </w:tc>
      </w:tr>
    </w:tbl>
    <w:p>
      <w:pPr>
        <w:pStyle w:val="Heading1"/>
      </w:pPr>
      <w:r>
        <w:t>2. Sector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Sector (SASB)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Holdings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23.7%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21.8%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20.8%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14.8%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Resource Transformation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10.0%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4.5%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4.5%</w:t>
            </w:r>
          </w:p>
        </w:tc>
      </w:tr>
      <w:tr>
        <w:tc>
          <w:tcPr>
            <w:tcW w:type="dxa" w:w="4608"/>
            <w:shd w:val="clear" w:color="auto" w:fill="EAF0F6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100.0%</w:t>
            </w:r>
          </w:p>
        </w:tc>
      </w:tr>
    </w:tbl>
    <w:p>
      <w:r>
        <w:t>7 sectors represented (mandate minimum 5); largest sector 23.7% (ceiling 25%).</w:t>
      </w:r>
    </w:p>
    <w:p>
      <w:pPr>
        <w:pStyle w:val="Heading1"/>
      </w:pPr>
      <w:r>
        <w:t>3. Country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Country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Holdings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22.8%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13.5%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Netherlands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Spain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9.7%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9.6%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France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5.4%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Germany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5.1%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Ireland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5.1%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Belgium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4.9%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Norway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4.5%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Finland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4.4%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Luxembourg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4.2%</w:t>
            </w:r>
          </w:p>
        </w:tc>
      </w:tr>
      <w:tr>
        <w:tc>
          <w:tcPr>
            <w:tcW w:type="dxa" w:w="4608"/>
            <w:shd w:val="clear" w:color="auto" w:fill="EAF0F6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100.0%</w:t>
            </w:r>
          </w:p>
        </w:tc>
      </w:tr>
    </w:tbl>
    <w:p>
      <w:r>
        <w:t>12 countries — a diversified European book; weights derive from the holding-level weighting, not a country target.</w:t>
      </w:r>
    </w:p>
    <w:p>
      <w:pPr>
        <w:pStyle w:val="Heading1"/>
      </w:pPr>
      <w:r>
        <w:t>4. Top 5 holdings and rationale</w:t>
      </w:r>
    </w:p>
    <w:p>
      <w:r>
        <w:rPr>
          <w:b/>
        </w:rPr>
        <w:t>Zurich Insurance Group Ltd (ZURN.SW) — 6.20%</w:t>
      </w:r>
    </w:p>
    <w:p>
      <w:r>
        <w:t>Composite rank 1 of 20 (score 87.3/100 — 60% financial quality, 40% ESG). ESG aggregate 96.6, financial score 81.1; sector Financials, Switzerland. Climate: SBTi commitment withdrawn. Greenwashing 8-Test: PASS (12.5% concern, no HIGH flags).</w:t>
      </w:r>
    </w:p>
    <w:p>
      <w:r>
        <w:rPr>
          <w:b/>
        </w:rPr>
        <w:t>SBM Offshore NV (SBMO.AS) — 6.08%</w:t>
      </w:r>
    </w:p>
    <w:p>
      <w:r>
        <w:t>Composite rank 2 of 20 (score 85.6/100 — 60% financial quality, 40% ESG). ESG aggregate 97.0, financial score 78.0; sector Extractives &amp; Minerals Processing, Netherlands. Climate: no SBTi-validated target. Greenwashing 8-Test: PASS (25.0% concern, no HIGH flags).</w:t>
      </w:r>
    </w:p>
    <w:p>
      <w:r>
        <w:rPr>
          <w:b/>
        </w:rPr>
        <w:t>Swiss Prime Site AG (SPSN.SW) — 6.05%</w:t>
      </w:r>
    </w:p>
    <w:p>
      <w:r>
        <w:t>Composite rank 3 of 20 (score 85.2/100 — 60% financial quality, 40% ESG). ESG aggregate 85.7, financial score 84.8; sector Infrastructure, Switzerland. Climate: no SBTi-validated target. Greenwashing 8-Test: PASS (31.2% concern, no HIGH flags).</w:t>
      </w:r>
    </w:p>
    <w:p>
      <w:r>
        <w:rPr>
          <w:b/>
        </w:rPr>
        <w:t>ABB Ltd. (ABBN.SW) — 5.39%</w:t>
      </w:r>
    </w:p>
    <w:p>
      <w:r>
        <w:t>Composite rank 4 of 20 (score 75.8/100 — 60% financial quality, 40% ESG). ESG aggregate 86.1, financial score 68.9; sector Resource Transformation, Switzerland. Climate: SBTi-validated 1.5°C target. Greenwashing 8-Test: PASS (0.0% concern, no HIGH flags).</w:t>
      </w:r>
    </w:p>
    <w:p>
      <w:r>
        <w:rPr>
          <w:b/>
        </w:rPr>
        <w:t>Klepierre SA (LI.PA) — 5.38%</w:t>
      </w:r>
    </w:p>
    <w:p>
      <w:r>
        <w:t>Composite rank 5 of 20 (score 75.7/100 — 60% financial quality, 40% ESG). ESG aggregate 83.5, financial score 70.5; sector Infrastructure, France. Climate: SBTi-validated 1.5°C target. Greenwashing 8-Test: PASS (0.0% concern, no HIGH flags). IC override: RESOLVED — SBTi-validated targets since 2020 covering Scope 1+2+3 (1.5C, intensity-based); 3-of-3 vendor pass. The Bloomberg Tier-1=0 result is a data-vintage / boolean-pa</w:t>
      </w:r>
    </w:p>
    <w:p>
      <w:pPr>
        <w:pStyle w:val="Heading1"/>
      </w:pPr>
      <w:r>
        <w:t>5. Excluded companies and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Sector</w:t>
            </w:r>
          </w:p>
        </w:tc>
        <w:tc>
          <w:tcPr>
            <w:tcW w:type="dxa" w:w="3312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Exclusion reason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AIXTRON SE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EXCLUDED_GATE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Arcadis NV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L'Oreal S.A.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Logitech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Moncler SpA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Rentokil Initial plc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Sweco AB Class 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</w:tbl>
    <w:p>
      <w:r>
        <w:t>7 of the 40 sector-capped candidates were excluded by the hard financial screen (failed a quality gate or a market-metric threshold — e.g. volatility, drawdown or negative Sharpe). A further 13 passed the screen but were out-ranked by the composite score. Separately, the greenwashing 8-Test excluded 0 holdings — all 20 passed.</w:t>
      </w:r>
    </w:p>
    <w:p>
      <w:pPr>
        <w:pStyle w:val="Heading1"/>
      </w:pPr>
      <w:r>
        <w:t>6. ESG score versus universe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Metric (0–100)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Portfolio (weighted)</w:t>
            </w:r>
          </w:p>
        </w:tc>
        <w:tc>
          <w:tcPr>
            <w:tcW w:type="dxa" w:w="230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Capped-40 universe</w:t>
            </w:r>
          </w:p>
        </w:tc>
        <w:tc>
          <w:tcPr>
            <w:tcW w:type="dxa" w:w="1296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Delta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Environmental (E)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64.5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64.1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+0.4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Social (S)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70.5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66.9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+3.5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Governance (G)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59.2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54.1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+5.1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ESG aggregate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83.1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79.3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+3.8</w:t>
            </w:r>
          </w:p>
        </w:tc>
      </w:tr>
    </w:tbl>
    <w:p>
      <w:r>
        <w:t>Portfolio scores are weight-averaged across the 20 holdings; the universe column is the simple average of the 40-company sector-capped shortlist. ESG ratings are treated as indicators, not objective truth.</w:t>
      </w:r>
    </w:p>
    <w:p>
      <w:pPr>
        <w:pStyle w:val="Heading1"/>
      </w:pPr>
      <w:r>
        <w:t>7. Carbon intensity (WACI)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432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Portfolio WACI (Scope 1+2)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80 tCO2e/$M revenue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Capped-40 universe (avg carbon intensity)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144 tCO2e/$M revenue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STOXX Europe 600 WACI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not in dataset — see note</w:t>
            </w:r>
          </w:p>
        </w:tc>
      </w:tr>
    </w:tbl>
    <w:p>
      <w:r>
        <w:t>WACI is the weight-averaged Scope 1+2 carbon intensity. 18 of 20 holdings use sector-median imputed carbon intensity (only 2 carry company-reported Bloomberg values); the single highest-intensity name (Norsk Hydro) drives roughly 62% of the figure. The Financials-sector WACI excludes PCAF-aligned Scope 3 financed emissions. The benchmark's own WACI was not computed — the index's constituent carbon data is outside the project's data scope.</w:t>
      </w:r>
    </w:p>
    <w:p>
      <w:pPr>
        <w:pStyle w:val="Heading1"/>
      </w:pPr>
      <w:r>
        <w:t>8. Biodiversity / nature-risk indicator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4032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Weighted biodiversity score (0–100)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35.2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Weighted ENCORE nature-risk score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2.58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Weighted WRI Aqueduct water-stress score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2.15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Nature-risk tier mix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14 Low, 5 Medium, 1 High</w:t>
            </w:r>
          </w:p>
        </w:tc>
      </w:tr>
    </w:tbl>
    <w:p>
      <w:r>
        <w:t>Nature risk is a proxy: ENCORE sector dependency/impact and WRI Aqueduct water stress, combined into a 0–100 biodiversity score and a Low/Medium/High tier. No single-vendor nature score exists — this is, honestly, the weakest-coverage data layer and is used as a directional flag.</w:t>
      </w:r>
    </w:p>
    <w:p>
      <w:pPr>
        <w:pStyle w:val="Heading1"/>
      </w:pPr>
      <w:r>
        <w:t>9. Controversy / greenwashing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3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Holdings assessed (8-Test)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20 of 20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20 PASS · 0 watchlist · 0 excluded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HIGH red flags across the book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0 (no holding failed any dimension)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Weighted 8-Test concern score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8.2% (0% clean – 100% severe)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Highest-concern holdings (still PASS)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Subsea 7 S.A. 37.5%; Swiss Prime Site AG 31.2%; Galenica AG 25.0%; SBM Offshore NV 25.0%</w:t>
            </w:r>
          </w:p>
        </w:tc>
      </w:tr>
    </w:tbl>
    <w:p>
      <w:r>
        <w:t>Every holding's headline sustainability claim was tested on 8 dimensions (specificity, metric, baseline, target, time horizon, scope, verification, consistency), rated PASS/PARTIAL/FAIL/MISSING. Tier 1 evidence is the primary company documents (verbatim, page-cited); Tier 2 is external verification — the SBTi database and TPI Carbon Performance. Full per-company detail is in the greenwashing 8-Test report.</w:t>
      </w:r>
    </w:p>
    <w:p>
      <w:pPr>
        <w:pStyle w:val="Heading1"/>
      </w:pPr>
      <w:r>
        <w:t>10. Return and risk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880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Weighting method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Sharpe</w:t>
            </w:r>
          </w:p>
        </w:tc>
        <w:tc>
          <w:tcPr>
            <w:tcW w:type="dxa" w:w="158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Volatility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Max DD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Cum. return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Equal Weight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1.52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13.0%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-13.1%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193%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Score Tilted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13.3%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-13.4%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192%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Black Litterman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13.3%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-13.8%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HRP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11.7%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-13.3%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159%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Min Volatility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11.7%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-13.5%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157%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Max Sharpe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1.34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12.8%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-15.8%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157%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STOXX Europe 600 (benchmark)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0.44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14.0%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-22.6%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44%</w:t>
            </w:r>
          </w:p>
        </w:tc>
      </w:tr>
    </w:tbl>
    <w:p>
      <w:r>
        <w:t>Walk-forward out-of-sample backtest (~5 years, 1,296 trading days). Six weighting methods were compared on the fixed 20 holdings; the portfolio's composite-score weighting is closest in character to the score-tilted method. Across all methods the portfolio backtests at a higher Sharpe and a shallower drawdown than the benchmark. Look-ahead disclosure: the holdings were chosen with present-day information, so absolute performance carries look-ahead bias — the valid output is the RELATIVE comparison of weighting methods and the benchmark, not a claim of historical alpha.</w:t>
      </w:r>
    </w:p>
    <w:p>
      <w:pPr>
        <w:pStyle w:val="Heading1"/>
      </w:pPr>
      <w:r>
        <w:t>11. Limitations and data-quality issues</w:t>
      </w:r>
    </w:p>
    <w:p>
      <w:pPr>
        <w:pStyle w:val="ListBullet"/>
      </w:pPr>
      <w:r>
        <w:rPr>
          <w:b/>
        </w:rPr>
        <w:t xml:space="preserve">Carbon data — </w:t>
      </w:r>
      <w:r>
        <w:t>18 of 20 holdings use sector-median imputed carbon intensity; treat WACI as a sector-typical estimate, not a precise measurement.</w:t>
      </w:r>
    </w:p>
    <w:p>
      <w:pPr>
        <w:pStyle w:val="ListBullet"/>
      </w:pPr>
      <w:r>
        <w:rPr>
          <w:b/>
        </w:rPr>
        <w:t xml:space="preserve">Financed emissions — </w:t>
      </w:r>
      <w:r>
        <w:t>the Financials-sector WACI excludes PCAF-aligned Scope 3 financed emissions, which would materially raise the reported figure.</w:t>
      </w:r>
    </w:p>
    <w:p>
      <w:pPr>
        <w:pStyle w:val="ListBullet"/>
      </w:pPr>
      <w:r>
        <w:rPr>
          <w:b/>
        </w:rPr>
        <w:t xml:space="preserve">EU Taxonomy — </w:t>
      </w:r>
      <w:r>
        <w:t>reported alignment coverage is sparse; taxonomy data is used as an overlay, not a portfolio compliance claim.</w:t>
      </w:r>
    </w:p>
    <w:p>
      <w:pPr>
        <w:pStyle w:val="ListBullet"/>
      </w:pPr>
      <w:r>
        <w:rPr>
          <w:b/>
        </w:rPr>
        <w:t xml:space="preserve">ESG ratings — </w:t>
      </w:r>
      <w:r>
        <w:t>vendors disagree (the 'Aggregate Confusion' problem); ratings are indicators, triangulated 2-of-3, not objective truth.</w:t>
      </w:r>
    </w:p>
    <w:p>
      <w:pPr>
        <w:pStyle w:val="ListBullet"/>
      </w:pPr>
      <w:r>
        <w:rPr>
          <w:b/>
        </w:rPr>
        <w:t xml:space="preserve">Greenwashing RAG — </w:t>
      </w:r>
      <w:r>
        <w:t>document-intelligence extraction can mis-read a report; 30% of extractions are verified against source PDFs and 100% of any exclusion-driving item.</w:t>
      </w:r>
    </w:p>
    <w:p>
      <w:pPr>
        <w:pStyle w:val="ListBullet"/>
      </w:pPr>
      <w:r>
        <w:rPr>
          <w:b/>
        </w:rPr>
        <w:t xml:space="preserve">Biodiversity / nature — </w:t>
      </w:r>
      <w:r>
        <w:t>proxy-based (ENCORE, WRI Aqueduct); the weakest data layer, used as a directional signal only.</w:t>
      </w:r>
    </w:p>
    <w:p>
      <w:pPr>
        <w:pStyle w:val="ListBullet"/>
      </w:pPr>
      <w:r>
        <w:rPr>
          <w:b/>
        </w:rPr>
        <w:t xml:space="preserve">Look-ahead bias — </w:t>
      </w:r>
      <w:r>
        <w:t>market data is not point-in-time; the backtest is a relative method comparison, not predictive. PIT data is future work.</w:t>
      </w:r>
    </w:p>
    <w:p>
      <w:pPr>
        <w:pStyle w:val="ListBullet"/>
      </w:pPr>
      <w:r>
        <w:rPr>
          <w:b/>
        </w:rPr>
        <w:t xml:space="preserve">Benchmark scope — </w:t>
      </w:r>
      <w:r>
        <w:t>the STOXX Europe 600's own WACI and ESG composite were not computed — index constituent data is outside the project's data scope.</w:t>
      </w:r>
    </w:p>
    <w:p/>
    <w:p>
      <w:r>
        <w:rPr>
          <w:i/>
          <w:color w:val="808080"/>
          <w:sz w:val="17"/>
        </w:rPr>
        <w:t>Generated 2026-05-27 from the pipeline outputs. Academic prototype — not a regulated product or investment advice.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