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team effectiveness checklist</w:t>
      </w:r>
    </w:p>
    <w:p>
      <w:r>
        <w:rPr>
          <w:color w:val="55524A"/>
        </w:rPr>
        <w:t>How to use it: each member answers every statement alone: yes, partly or no. Then compare the answers in a meeting, starting where they differ most. There is no score. It is a checklist for a conversation, not a tested measure.</w:t>
      </w:r>
    </w:p>
    <w:p>
      <w:pPr>
        <w:pStyle w:val="Heading1"/>
        <w:keepNext/>
      </w:pPr>
      <w:r>
        <w:t>1. Conditions: how the team is set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102"/>
        <w:gridCol w:w="1814"/>
        <w:gridCol w:w="2268"/>
      </w:tblGrid>
      <w:tr>
        <w:trPr>
          <w:cantSplit/>
        </w:trPr>
        <w:tc>
          <w:tcPr>
            <w:tcW w:type="dxa" w:w="45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181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Yes / partly / no</w:t>
            </w:r>
          </w:p>
        </w:tc>
        <w:tc>
          <w:tcPr>
            <w:tcW w:type="dxa" w:w="2268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Research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Every member would give the same list of who is on this team.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Coutu (2009)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2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We can say in one sentence what this team is for, beyond our separate jobs.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Wageman et al. (2008)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3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We know which issues need the whole team, and we handle the rest elsewhere.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Katzenbach (1997)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The team is small enough for every member to take part in its shared work.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Coutu (2009)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Members bring the skills our shared work needs, not only a senior title.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Wageman et al. (2008)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We have the information, time and support our shared work needs.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Hackman (2002)</w:t>
            </w:r>
          </w:p>
        </w:tc>
      </w:tr>
    </w:tbl>
    <w:p/>
    <w:p>
      <w:pPr>
        <w:pStyle w:val="Heading1"/>
        <w:keepNext/>
      </w:pPr>
      <w:r>
        <w:t>2. Processes: how the team works, mostly in meetings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102"/>
        <w:gridCol w:w="1814"/>
        <w:gridCol w:w="2268"/>
      </w:tblGrid>
      <w:tr>
        <w:trPr>
          <w:cantSplit/>
        </w:trPr>
        <w:tc>
          <w:tcPr>
            <w:tcW w:type="dxa" w:w="45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181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Yes / partly / no</w:t>
            </w:r>
          </w:p>
        </w:tc>
        <w:tc>
          <w:tcPr>
            <w:tcW w:type="dxa" w:w="2268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Research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7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Every agenda item has a stated goal: information, discussion or decision.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Bang et al. (2010)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8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Our discussion stays on the goal of the item at hand.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Bang et al. (2010)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9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Someone says so when an item's goal is unclear.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Bang et al. (2010)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10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Our meetings spend their time on solving problems and planning actions.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Kauffeld and Lehmann-Willenbrock (2012)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11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We disagree about the work, not about each other.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de Wit et al. (2012)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12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When we decide, we put the whole organisation ahead of our own units.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Wageman et al. (2008); Simsek et al. (2005)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We stop now and then to review how we work together.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Edmondson (1999)</w:t>
            </w:r>
          </w:p>
        </w:tc>
      </w:tr>
    </w:tbl>
    <w:p/>
    <w:p>
      <w:pPr>
        <w:pStyle w:val="Heading1"/>
        <w:keepNext/>
      </w:pPr>
      <w:r>
        <w:t>3. States: what has built up between members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102"/>
        <w:gridCol w:w="1814"/>
        <w:gridCol w:w="2268"/>
      </w:tblGrid>
      <w:tr>
        <w:trPr>
          <w:cantSplit/>
        </w:trPr>
        <w:tc>
          <w:tcPr>
            <w:tcW w:type="dxa" w:w="45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181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Yes / partly / no</w:t>
            </w:r>
          </w:p>
        </w:tc>
        <w:tc>
          <w:tcPr>
            <w:tcW w:type="dxa" w:w="2268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Research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14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Members can raise a problem or a mistake without fear of looking negative.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Edmondson (1999); Bang (2012)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15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We trust each other to do what we have agreed.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De Jong et al. (2016)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We see ourselves as one team, not as a group of unit heads.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Haas and Mortensen (2016)</w:t>
            </w:r>
          </w:p>
        </w:tc>
      </w:tr>
    </w:tbl>
    <w:p/>
    <w:p>
      <w:pPr>
        <w:pStyle w:val="Heading1"/>
        <w:keepNext/>
      </w:pPr>
      <w:r>
        <w:t>4. Outcomes: what the team delivers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102"/>
        <w:gridCol w:w="1814"/>
        <w:gridCol w:w="2268"/>
      </w:tblGrid>
      <w:tr>
        <w:trPr>
          <w:cantSplit/>
        </w:trPr>
        <w:tc>
          <w:tcPr>
            <w:tcW w:type="dxa" w:w="45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1814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Yes / partly / no</w:t>
            </w:r>
          </w:p>
        </w:tc>
        <w:tc>
          <w:tcPr>
            <w:tcW w:type="dxa" w:w="2268"/>
            <w:shd w:val="clear" w:color="auto" w:fill="EFE9DF"/>
          </w:tcPr>
          <w:p>
            <w:pPr>
              <w:keepNext/>
            </w:pPr>
            <w:r>
              <w:rPr>
                <w:b/>
                <w:sz w:val="19"/>
              </w:rPr>
              <w:t>Research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17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The people who report to us hear the same priorities from each of us.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Drath et al. (2008)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18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Members make the success of the whole a priority, not only their own.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Drath et al. (2008)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>
              <w:rPr>
                <w:sz w:val="19"/>
              </w:rPr>
              <w:t>19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The way we work keeps us able to work well together.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Haas and Mortensen (2016)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Being on this team helps each of us get better at leading.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Haas and Mortensen (2016)</w:t>
            </w:r>
          </w:p>
        </w:tc>
      </w:tr>
    </w:tbl>
    <w:p/>
    <w:p>
      <w:pPr>
        <w:pStyle w:val="Heading1"/>
      </w:pPr>
      <w:r>
        <w:t>5. Next steps</w:t>
      </w:r>
    </w:p>
    <w:p>
      <w:pPr>
        <w:pStyle w:val="Heading2"/>
      </w:pPr>
      <w:r>
        <w:t>Where our answers differ most</w:t>
      </w:r>
    </w:p>
    <w:p>
      <w:r>
        <w:rPr>
          <w:color w:val="55524A"/>
        </w:rPr>
        <w:t>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</w:t>
      </w:r>
    </w:p>
    <w:p>
      <w:pPr>
        <w:pStyle w:val="Heading2"/>
      </w:pPr>
      <w:r>
        <w:t>The layer we work on first, and why</w:t>
      </w:r>
    </w:p>
    <w:p>
      <w:r>
        <w:rPr>
          <w:color w:val="55524A"/>
        </w:rPr>
        <w:t>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1984"/>
        <w:gridCol w:w="1417"/>
      </w:tblGrid>
      <w:tr>
        <w:tc>
          <w:tcPr>
            <w:tcW w:type="dxa" w:w="6236"/>
            <w:shd w:val="clear" w:color="auto" w:fill="EFE9DF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1984"/>
            <w:shd w:val="clear" w:color="auto" w:fill="EFE9DF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1417"/>
            <w:shd w:val="clear" w:color="auto" w:fill="EFE9DF"/>
          </w:tcPr>
          <w:p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9DF"/>
          </w:tcPr>
          <w:p>
            <w:r>
              <w:rPr>
                <w:b/>
                <w:sz w:val="19"/>
              </w:rPr>
              <w:t>Checked on</w:t>
            </w:r>
          </w:p>
        </w:tc>
        <w:tc>
          <w:tcPr>
            <w:tcW w:type="dxa" w:w="4819"/>
            <w:shd w:val="clear" w:color="auto" w:fill="EFE9DF"/>
          </w:tcPr>
          <w:p>
            <w:r>
              <w:rPr>
                <w:b/>
                <w:sz w:val="19"/>
              </w:rPr>
              <w:t>Next check on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</w:p>
        </w:tc>
      </w:tr>
    </w:tbl>
    <w:p/>
    <w:p>
      <w:r>
        <w:rPr>
          <w:color w:val="55524A"/>
          <w:sz w:val="18"/>
        </w:rPr>
        <w:t>Every source in full: www.leaderpact.com/articles/what-makes-a-leadership-team-effective. Research suggests a quick check every few months, and a deeper look when problems arise.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24A"/>
        <w:sz w:val="17"/>
      </w:rPr>
      <w:t>LeaderPact · www.leaderpact.com · Free to use, change and share.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