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AIFinance: Guía de Arquitectura para el Cliente</w:t>
      </w:r>
    </w:p>
    <w:p>
      <w:pPr>
        <w:jc w:val="center"/>
      </w:pPr>
      <w:r>
        <w:t xml:space="preserve">Este documento detalla cada archivo del sistema y su función simplificada.</w:t>
      </w:r>
    </w:p>
    <w:p/>
    <w:p>
      <w:pPr>
        <w:pStyle w:val="Heading2"/>
      </w:pPr>
      <w:r>
        <w:t xml:space="preserve">1. Cimientos y Estética</w:t>
      </w:r>
    </w:p>
    <w:p>
      <w:r>
        <w:t xml:space="preserve">• index.html (La Fachada): El punto de partida que prepara el navegador para cargar nuestro diseño premium.</w:t>
      </w:r>
    </w:p>
    <w:p>
      <w:r>
        <w:t xml:space="preserve">• src/styles/tokens.css (La Identidad): Centraliza los colores y estilos visuales de la marca.</w:t>
      </w:r>
    </w:p>
    <w:p>
      <w:r>
        <w:t xml:space="preserve">• src/styles/index.css (El Pulido): Aplica los efectos de vidrio y fondos animados de alta tecnología.</w:t>
      </w:r>
    </w:p>
    <w:p>
      <w:pPr>
        <w:pStyle w:val="Heading2"/>
      </w:pPr>
      <w:r>
        <w:t xml:space="preserve">2. Navegación e Interfaz</w:t>
      </w:r>
    </w:p>
    <w:p>
      <w:r>
        <w:t xml:space="preserve">• TopNavBar.jsx (Barra Ejecutiva): Controla la identidad superior y las conexiones externas.</w:t>
      </w:r>
    </w:p>
    <w:p>
      <w:r>
        <w:t xml:space="preserve">• SideNavBar.jsx (Núcleo Neural): El menú lateral inteligente para navegar por el ecosistema de IA.</w:t>
      </w:r>
    </w:p>
    <w:p>
      <w:r>
        <w:t xml:space="preserve">• Footer.jsx (Cierre): Proporciona seguridad y soporte en la parte inferior.</w:t>
      </w:r>
    </w:p>
    <w:p>
      <w:pPr>
        <w:pStyle w:val="Heading2"/>
      </w:pPr>
      <w:r>
        <w:t xml:space="preserve">3. Inteligencia y Visualización</w:t>
      </w:r>
    </w:p>
    <w:p>
      <w:r>
        <w:t xml:space="preserve">• DashboardPage.jsx (El Director): El archivo principal que organiza y muestra todos los componentes en orden.</w:t>
      </w:r>
    </w:p>
    <w:p>
      <w:r>
        <w:t xml:space="preserve">• HeroSection.jsx (Impacto): Proporciona la narrativa inicial y bienvenida al usuario.</w:t>
      </w:r>
    </w:p>
    <w:p>
      <w:r>
        <w:t xml:space="preserve">• MetricsGrid.jsx (Signos Vitales): Muestra los indicadores clave de negocio (KPIs) de forma clara.</w:t>
      </w:r>
    </w:p>
    <w:p>
      <w:r>
        <w:t xml:space="preserve">• FinancialChart.jsx (Visión): Transforma datos en gráficos y permite invocar el análisis de la IA.</w:t>
      </w:r>
    </w:p>
    <w:p>
      <w:r>
        <w:t xml:space="preserve">• SkillsSection.jsx (Habilidades): Acceso a herramientas autónomas como reportes avanzados.</w:t>
      </w:r>
    </w:p>
    <w:p>
      <w:r>
        <w:t xml:space="preserve">• TransactionsTable.jsx (Auditoría): Listado detallado y clasificado de movimientos financieros.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2026-04-13T12:06:40.751Z</dcterms:created>
  <dcterms:modified xsi:type="dcterms:W3CDTF">2026-04-13T12:06:40.752Z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