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F4E79"/>
          <w:sz w:val="36"/>
        </w:rPr>
        <w:t>RESCUE VEHICLE MANAGEMENT SYSTEM (RVMS)</w:t>
      </w:r>
    </w:p>
    <w:p>
      <w:pPr>
        <w:spacing w:before="0" w:after="320"/>
        <w:jc w:val="center"/>
      </w:pPr>
      <w:r>
        <w:rPr>
          <w:rFonts w:ascii="Calibri" w:hAnsi="Calibri"/>
          <w:i/>
          <w:color w:val="3C3C3C"/>
          <w:sz w:val="22"/>
        </w:rPr>
        <w:t>Final Capstone Defense Master Q&amp;A, Live Demo Script &amp; Technical Architecture Guide</w:t>
        <w:br/>
        <w:t>College of Computing and Information Sciences | Northwest Samar State University</w:t>
      </w:r>
    </w:p>
    <w:p>
      <w:pPr>
        <w:keepNext/>
        <w:spacing w:before="320" w:after="120"/>
      </w:pPr>
      <w:r>
        <w:rPr>
          <w:rFonts w:ascii="Calibri" w:hAnsi="Calibri"/>
          <w:b/>
          <w:color w:val="1F4E79"/>
          <w:sz w:val="28"/>
        </w:rPr>
        <w:t>PART 1: PREVENTIVE MAINTENANCE (PM) SCHEDULE — CONCEPTS &amp; LIVE DEMO SCRIPT</w:t>
      </w:r>
    </w:p>
    <w:p>
      <w:pPr>
        <w:spacing w:before="0" w:after="80" w:line="276" w:lineRule="auto"/>
      </w:pPr>
      <w:r>
        <w:rPr>
          <w:rFonts w:ascii="Calibri" w:hAnsi="Calibri"/>
          <w:i w:val="0"/>
          <w:sz w:val="22"/>
        </w:rPr>
        <w:t>This section breaks down mileage-based maintenance into plain everyday concepts, followed by the exact demonstration plan for the CHO Admin account.</w:t>
      </w:r>
    </w:p>
    <w:p>
      <w:pPr>
        <w:keepNext/>
        <w:spacing w:before="200" w:after="80"/>
      </w:pPr>
      <w:r>
        <w:rPr>
          <w:rFonts w:ascii="Calibri" w:hAnsi="Calibri"/>
          <w:b/>
          <w:color w:val="3C3C3C"/>
          <w:sz w:val="24"/>
        </w:rPr>
        <w:t>1. Plain English Definition of the Four Maintenance Terms</w:t>
      </w:r>
    </w:p>
    <w:p>
      <w:pPr>
        <w:pStyle w:val="ListBullet"/>
        <w:spacing w:before="0" w:after="60" w:line="276" w:lineRule="auto"/>
      </w:pPr>
      <w:r>
        <w:rPr>
          <w:rFonts w:ascii="Calibri" w:hAnsi="Calibri"/>
          <w:b/>
          <w:color w:val="1F4E79"/>
          <w:sz w:val="22"/>
        </w:rPr>
        <w:t xml:space="preserve">Current Mileage: </w:t>
      </w:r>
      <w:r>
        <w:rPr>
          <w:rFonts w:ascii="Calibri" w:hAnsi="Calibri"/>
          <w:sz w:val="22"/>
        </w:rPr>
        <w:t>The total kilometers the vehicle has driven up to this very second (what you see on the dashboard odometer). For example, 40,000 km.</w:t>
      </w:r>
    </w:p>
    <w:p>
      <w:pPr>
        <w:pStyle w:val="ListBullet"/>
        <w:spacing w:before="0" w:after="60" w:line="276" w:lineRule="auto"/>
      </w:pPr>
      <w:r>
        <w:rPr>
          <w:rFonts w:ascii="Calibri" w:hAnsi="Calibri"/>
          <w:b/>
          <w:color w:val="1F4E79"/>
          <w:sz w:val="22"/>
        </w:rPr>
        <w:t xml:space="preserve">Interval: </w:t>
      </w:r>
      <w:r>
        <w:rPr>
          <w:rFonts w:ascii="Calibri" w:hAnsi="Calibri"/>
          <w:sz w:val="22"/>
        </w:rPr>
        <w:t>How many kilometers the vehicle is allowed to travel before it must receive service. For example, 5,000 km means service is needed every 5,000 km.</w:t>
      </w:r>
    </w:p>
    <w:p>
      <w:pPr>
        <w:pStyle w:val="ListBullet"/>
        <w:spacing w:before="0" w:after="60" w:line="276" w:lineRule="auto"/>
      </w:pPr>
      <w:r>
        <w:rPr>
          <w:rFonts w:ascii="Calibri" w:hAnsi="Calibri"/>
          <w:b/>
          <w:color w:val="1F4E79"/>
          <w:sz w:val="22"/>
        </w:rPr>
        <w:t xml:space="preserve">Last PM Mileage: </w:t>
      </w:r>
      <w:r>
        <w:rPr>
          <w:rFonts w:ascii="Calibri" w:hAnsi="Calibri"/>
          <w:sz w:val="22"/>
        </w:rPr>
        <w:t>The exact odometer reading when the vehicle last had this service. If a newly registered ambulance has never had service done yet, this is its starting mileage (e.g., 0 km or 1,200 km).</w:t>
      </w:r>
    </w:p>
    <w:p>
      <w:pPr>
        <w:pStyle w:val="ListBullet"/>
        <w:spacing w:before="0" w:after="60" w:line="276" w:lineRule="auto"/>
      </w:pPr>
      <w:r>
        <w:rPr>
          <w:rFonts w:ascii="Calibri" w:hAnsi="Calibri"/>
          <w:b/>
          <w:color w:val="1F4E79"/>
          <w:sz w:val="22"/>
        </w:rPr>
        <w:t xml:space="preserve">Due Soon Threshold: </w:t>
      </w:r>
      <w:r>
        <w:rPr>
          <w:rFonts w:ascii="Calibri" w:hAnsi="Calibri"/>
          <w:sz w:val="22"/>
        </w:rPr>
        <w:t>The advance warning distance. For example, 500 km means show a yellow warning 500 km before reaching the target.</w:t>
      </w:r>
    </w:p>
    <w:p>
      <w:pPr>
        <w:keepNext/>
        <w:spacing w:before="200" w:after="80"/>
      </w:pPr>
      <w:r>
        <w:rPr>
          <w:rFonts w:ascii="Calibri" w:hAnsi="Calibri"/>
          <w:b/>
          <w:color w:val="3C3C3C"/>
          <w:sz w:val="24"/>
        </w:rPr>
        <w:t>2. How the System Calculates Maintenance Due Dates (In Plain Words)</w:t>
      </w:r>
    </w:p>
    <w:p>
      <w:pPr>
        <w:spacing w:before="0" w:after="80" w:line="276" w:lineRule="auto"/>
      </w:pPr>
      <w:r>
        <w:rPr>
          <w:rFonts w:ascii="Calibri" w:hAnsi="Calibri"/>
          <w:i w:val="0"/>
          <w:sz w:val="22"/>
        </w:rPr>
        <w:t>The system follows two simple everyday rules:</w:t>
      </w:r>
    </w:p>
    <w:p>
      <w:pPr>
        <w:spacing w:before="0" w:after="80" w:line="276" w:lineRule="auto"/>
      </w:pPr>
      <w:r>
        <w:rPr>
          <w:rFonts w:ascii="Calibri" w:hAnsi="Calibri"/>
          <w:b/>
          <w:sz w:val="22"/>
        </w:rPr>
        <w:t xml:space="preserve">• </w:t>
      </w:r>
      <w:r>
        <w:rPr>
          <w:rFonts w:ascii="Calibri" w:hAnsi="Calibri"/>
          <w:i w:val="0"/>
          <w:sz w:val="22"/>
        </w:rPr>
        <w:t>Rule 1 — Finding the Target Odometer Reading:</w:t>
      </w:r>
    </w:p>
    <w:p>
      <w:pPr>
        <w:spacing w:before="0" w:after="80" w:line="276" w:lineRule="auto"/>
      </w:pPr>
      <w:r>
        <w:rPr>
          <w:rFonts w:ascii="Calibri" w:hAnsi="Calibri"/>
          <w:i w:val="0"/>
          <w:sz w:val="22"/>
        </w:rPr>
        <w:t>Take the Last PM Mileage and add the Interval. This gives the exact odometer number when service is required. If the last oil change was done at 5,000 km and the interval is 5,000 km, the target is 10,000 km.</w:t>
      </w:r>
    </w:p>
    <w:p>
      <w:pPr>
        <w:spacing w:before="0" w:after="80" w:line="276" w:lineRule="auto"/>
      </w:pPr>
      <w:r>
        <w:rPr>
          <w:rFonts w:ascii="Calibri" w:hAnsi="Calibri"/>
          <w:b/>
          <w:sz w:val="22"/>
        </w:rPr>
        <w:t xml:space="preserve">• </w:t>
      </w:r>
      <w:r>
        <w:rPr>
          <w:rFonts w:ascii="Calibri" w:hAnsi="Calibri"/>
          <w:i w:val="0"/>
          <w:sz w:val="22"/>
        </w:rPr>
        <w:t>Rule 2 — Finding When the Warning Starts:</w:t>
      </w:r>
    </w:p>
    <w:p>
      <w:pPr>
        <w:spacing w:before="0" w:after="80" w:line="276" w:lineRule="auto"/>
      </w:pPr>
      <w:r>
        <w:rPr>
          <w:rFonts w:ascii="Calibri" w:hAnsi="Calibri"/>
          <w:i w:val="0"/>
          <w:sz w:val="22"/>
        </w:rPr>
        <w:t>Take that Target and subtract the Due Soon Threshold. If the target is 10,000 km and the threshold is 500 km, the warning turns Yellow as soon as the vehicle reaches 9,500 km.</w:t>
      </w:r>
    </w:p>
    <w:p>
      <w:pPr>
        <w:keepNext/>
        <w:spacing w:before="200" w:after="80"/>
      </w:pPr>
      <w:r>
        <w:rPr>
          <w:rFonts w:ascii="Calibri" w:hAnsi="Calibri"/>
          <w:b/>
          <w:color w:val="3C3C3C"/>
          <w:sz w:val="24"/>
        </w:rPr>
        <w:t>3. The Three Status Badges Explained</w:t>
      </w:r>
    </w:p>
    <w:p>
      <w:pPr>
        <w:pStyle w:val="ListBullet"/>
        <w:spacing w:before="0" w:after="60" w:line="276" w:lineRule="auto"/>
      </w:pPr>
      <w:r>
        <w:rPr>
          <w:rFonts w:ascii="Calibri" w:hAnsi="Calibri"/>
          <w:b/>
          <w:color w:val="1F4E79"/>
          <w:sz w:val="22"/>
        </w:rPr>
        <w:t xml:space="preserve">Blue (Upcoming): </w:t>
      </w:r>
      <w:r>
        <w:rPr>
          <w:rFonts w:ascii="Calibri" w:hAnsi="Calibri"/>
          <w:sz w:val="22"/>
        </w:rPr>
        <w:t>The vehicle is healthy and safe. The current mileage is still below the warning threshold.</w:t>
      </w:r>
    </w:p>
    <w:p>
      <w:pPr>
        <w:pStyle w:val="ListBullet"/>
        <w:spacing w:before="0" w:after="60" w:line="276" w:lineRule="auto"/>
      </w:pPr>
      <w:r>
        <w:rPr>
          <w:rFonts w:ascii="Calibri" w:hAnsi="Calibri"/>
          <w:b/>
          <w:color w:val="1F4E79"/>
          <w:sz w:val="22"/>
        </w:rPr>
        <w:t xml:space="preserve">Yellow (Due Soon): </w:t>
      </w:r>
      <w:r>
        <w:rPr>
          <w:rFonts w:ascii="Calibri" w:hAnsi="Calibri"/>
          <w:sz w:val="22"/>
        </w:rPr>
        <w:t>The vehicle is approaching service. The current mileage is inside the advance warning window. Dispatchers and drivers are alerted to schedule shop time.</w:t>
      </w:r>
    </w:p>
    <w:p>
      <w:pPr>
        <w:pStyle w:val="ListBullet"/>
        <w:spacing w:before="0" w:after="60" w:line="276" w:lineRule="auto"/>
      </w:pPr>
      <w:r>
        <w:rPr>
          <w:rFonts w:ascii="Calibri" w:hAnsi="Calibri"/>
          <w:b/>
          <w:color w:val="1F4E79"/>
          <w:sz w:val="22"/>
        </w:rPr>
        <w:t xml:space="preserve">Red (Due / Overdue): </w:t>
      </w:r>
      <w:r>
        <w:rPr>
          <w:rFonts w:ascii="Calibri" w:hAnsi="Calibri"/>
          <w:sz w:val="22"/>
        </w:rPr>
        <w:t>The vehicle has reached or passed the target mileage. Service is urgently required.</w:t>
      </w:r>
    </w:p>
    <w:p>
      <w:pPr>
        <w:keepNext/>
        <w:spacing w:before="200" w:after="80"/>
      </w:pPr>
      <w:r>
        <w:rPr>
          <w:rFonts w:ascii="Calibri" w:hAnsi="Calibri"/>
          <w:b/>
          <w:color w:val="3C3C3C"/>
          <w:sz w:val="24"/>
        </w:rPr>
        <w:t>4. Step-by-Step CHO Admin Live Demo Script</w:t>
      </w:r>
    </w:p>
    <w:p>
      <w:pPr>
        <w:spacing w:before="0" w:after="80" w:line="276" w:lineRule="auto"/>
      </w:pPr>
      <w:r>
        <w:rPr>
          <w:rFonts w:ascii="Calibri" w:hAnsi="Calibri"/>
          <w:i w:val="0"/>
          <w:sz w:val="22"/>
        </w:rPr>
        <w:t>Log in using the CHO Admin credentials. Demonstrate two clear real-world vehicle scenarios to the panel:</w:t>
      </w:r>
    </w:p>
    <w:p>
      <w:pPr>
        <w:spacing w:before="0" w:after="80" w:line="276" w:lineRule="auto"/>
      </w:pPr>
      <w:r>
        <w:rPr>
          <w:rFonts w:ascii="Calibri" w:hAnsi="Calibri"/>
          <w:b/>
          <w:sz w:val="22"/>
        </w:rPr>
        <w:t xml:space="preserve">Step 1 — </w:t>
      </w:r>
      <w:r>
        <w:rPr>
          <w:rFonts w:ascii="Calibri" w:hAnsi="Calibri"/>
          <w:i w:val="0"/>
          <w:sz w:val="22"/>
        </w:rPr>
        <w:t>SCENARIO A: Newly Registered Brand-New Ambulance (CHO-1092)</w:t>
      </w:r>
    </w:p>
    <w:p>
      <w:pPr>
        <w:pStyle w:val="ListBullet"/>
        <w:spacing w:before="0" w:after="60" w:line="276" w:lineRule="auto"/>
      </w:pPr>
      <w:r>
        <w:rPr>
          <w:rFonts w:ascii="Calibri" w:hAnsi="Calibri"/>
          <w:b/>
          <w:color w:val="1F4E79"/>
          <w:sz w:val="22"/>
        </w:rPr>
        <w:t xml:space="preserve">Vehicle Details: </w:t>
      </w:r>
      <w:r>
        <w:rPr>
          <w:rFonts w:ascii="Calibri" w:hAnsi="Calibri"/>
          <w:sz w:val="22"/>
        </w:rPr>
        <w:t>Plate: CHO-1092 | Make/Model: Toyota HiAce Commuter Deluxe | Type: Ambulance | Assigned Driver: Reynaldo Serrato | Current Mileage: 1,200 km.</w:t>
      </w:r>
    </w:p>
    <w:p>
      <w:pPr>
        <w:pStyle w:val="ListBullet"/>
        <w:spacing w:before="0" w:after="60" w:line="276" w:lineRule="auto"/>
      </w:pPr>
      <w:r>
        <w:rPr>
          <w:rFonts w:ascii="Calibri" w:hAnsi="Calibri"/>
          <w:b/>
          <w:color w:val="1F4E79"/>
          <w:sz w:val="22"/>
        </w:rPr>
        <w:t xml:space="preserve">Action in System: </w:t>
      </w:r>
      <w:r>
        <w:rPr>
          <w:rFonts w:ascii="Calibri" w:hAnsi="Calibri"/>
          <w:sz w:val="22"/>
        </w:rPr>
        <w:t>Go to Vehicles &gt; Add Vehicle. Enter 1,200 km. Next, go to PM Schedules &gt; Create Schedule.</w:t>
      </w:r>
    </w:p>
    <w:p>
      <w:pPr>
        <w:pStyle w:val="ListBullet"/>
        <w:spacing w:before="0" w:after="60" w:line="276" w:lineRule="auto"/>
      </w:pPr>
      <w:r>
        <w:rPr>
          <w:rFonts w:ascii="Calibri" w:hAnsi="Calibri"/>
          <w:b/>
          <w:color w:val="1F4E79"/>
          <w:sz w:val="22"/>
        </w:rPr>
        <w:t xml:space="preserve">Form Inputs: </w:t>
      </w:r>
      <w:r>
        <w:rPr>
          <w:rFonts w:ascii="Calibri" w:hAnsi="Calibri"/>
          <w:sz w:val="22"/>
        </w:rPr>
        <w:t>Vehicle: CHO-1092 | Task Name: Initial Break-in Service &amp; Oil Change | Schedule Type: Mileage-based | Interval: 5,000 km | Last PM Mileage: 1,200 km | Due Soon Threshold: 500 km.</w:t>
      </w:r>
    </w:p>
    <w:p>
      <w:pPr>
        <w:pStyle w:val="ListBullet"/>
        <w:spacing w:before="0" w:after="60" w:line="276" w:lineRule="auto"/>
      </w:pPr>
      <w:r>
        <w:rPr>
          <w:rFonts w:ascii="Calibri" w:hAnsi="Calibri"/>
          <w:b/>
          <w:color w:val="1F4E79"/>
          <w:sz w:val="22"/>
        </w:rPr>
        <w:t xml:space="preserve">Target Calculation: </w:t>
      </w:r>
      <w:r>
        <w:rPr>
          <w:rFonts w:ascii="Calibri" w:hAnsi="Calibri"/>
          <w:sz w:val="22"/>
        </w:rPr>
        <w:t>Target = 1,200 + 5,000 = 6,200 km. Warning starts at = 6,200 - 500 = 5,700 km.</w:t>
      </w:r>
    </w:p>
    <w:p>
      <w:pPr>
        <w:pStyle w:val="ListBullet"/>
        <w:spacing w:before="0" w:after="60" w:line="276" w:lineRule="auto"/>
      </w:pPr>
      <w:r>
        <w:rPr>
          <w:rFonts w:ascii="Calibri" w:hAnsi="Calibri"/>
          <w:b/>
          <w:color w:val="1F4E79"/>
          <w:sz w:val="22"/>
        </w:rPr>
        <w:t xml:space="preserve">Observed Screen Result: </w:t>
      </w:r>
      <w:r>
        <w:rPr>
          <w:rFonts w:ascii="Calibri" w:hAnsi="Calibri"/>
          <w:sz w:val="22"/>
        </w:rPr>
        <w:t>Status badge displays Blue (Upcoming). Remaining distance shows 5,000 km until due. This proves a fresh vehicle starts healthy.</w:t>
      </w:r>
    </w:p>
    <w:p>
      <w:pPr>
        <w:spacing w:before="0" w:after="80" w:line="276" w:lineRule="auto"/>
      </w:pPr>
      <w:r>
        <w:rPr>
          <w:rFonts w:ascii="Calibri" w:hAnsi="Calibri"/>
          <w:b/>
          <w:sz w:val="22"/>
        </w:rPr>
        <w:t xml:space="preserve">Step 2 — </w:t>
      </w:r>
      <w:r>
        <w:rPr>
          <w:rFonts w:ascii="Calibri" w:hAnsi="Calibri"/>
          <w:i w:val="0"/>
          <w:sz w:val="22"/>
        </w:rPr>
        <w:t>SCENARIO B: Existing Operational Ambulance (SHA-1247) Triggering Yellow &amp; Red Warnings</w:t>
      </w:r>
    </w:p>
    <w:p>
      <w:pPr>
        <w:pStyle w:val="ListBullet"/>
        <w:spacing w:before="0" w:after="60" w:line="276" w:lineRule="auto"/>
      </w:pPr>
      <w:r>
        <w:rPr>
          <w:rFonts w:ascii="Calibri" w:hAnsi="Calibri"/>
          <w:b/>
          <w:color w:val="1F4E79"/>
          <w:sz w:val="22"/>
        </w:rPr>
        <w:t xml:space="preserve">Vehicle Details: </w:t>
      </w:r>
      <w:r>
        <w:rPr>
          <w:rFonts w:ascii="Calibri" w:hAnsi="Calibri"/>
          <w:sz w:val="22"/>
        </w:rPr>
        <w:t>Plate: SHA-1247 | Make/Model: Toyota Commuter | Type: Ambulance | Driver: Reynaldo Serrato | Current Mileage: 40,000 km.</w:t>
      </w:r>
    </w:p>
    <w:p>
      <w:pPr>
        <w:pStyle w:val="ListBullet"/>
        <w:spacing w:before="0" w:after="60" w:line="276" w:lineRule="auto"/>
      </w:pPr>
      <w:r>
        <w:rPr>
          <w:rFonts w:ascii="Calibri" w:hAnsi="Calibri"/>
          <w:b/>
          <w:color w:val="1F4E79"/>
          <w:sz w:val="22"/>
        </w:rPr>
        <w:t xml:space="preserve">Action in System: </w:t>
      </w:r>
      <w:r>
        <w:rPr>
          <w:rFonts w:ascii="Calibri" w:hAnsi="Calibri"/>
          <w:sz w:val="22"/>
        </w:rPr>
        <w:t>Go to PM Schedules &gt; Create Schedule for SHA-1247.</w:t>
      </w:r>
    </w:p>
    <w:p>
      <w:pPr>
        <w:pStyle w:val="ListBullet"/>
        <w:spacing w:before="0" w:after="60" w:line="276" w:lineRule="auto"/>
      </w:pPr>
      <w:r>
        <w:rPr>
          <w:rFonts w:ascii="Calibri" w:hAnsi="Calibri"/>
          <w:b/>
          <w:color w:val="1F4E79"/>
          <w:sz w:val="22"/>
        </w:rPr>
        <w:t xml:space="preserve">Demonstrating Due Soon (Yellow): </w:t>
      </w:r>
      <w:r>
        <w:rPr>
          <w:rFonts w:ascii="Calibri" w:hAnsi="Calibri"/>
          <w:sz w:val="22"/>
        </w:rPr>
        <w:t>Set Interval to 5,000 km, Last PM Mileage to 35,200 km, and Due Soon to 500 km. Target is 40,200 km. Warning starts at 39,700 km. Since Current Mileage is 40,000 km, the status turns Yellow (Due Soon) with 200 km remaining.</w:t>
      </w:r>
    </w:p>
    <w:p>
      <w:pPr>
        <w:pStyle w:val="ListBullet"/>
        <w:spacing w:before="0" w:after="60" w:line="276" w:lineRule="auto"/>
      </w:pPr>
      <w:r>
        <w:rPr>
          <w:rFonts w:ascii="Calibri" w:hAnsi="Calibri"/>
          <w:b/>
          <w:color w:val="1F4E79"/>
          <w:sz w:val="22"/>
        </w:rPr>
        <w:t xml:space="preserve">Demonstrating Overdue (Red): </w:t>
      </w:r>
      <w:r>
        <w:rPr>
          <w:rFonts w:ascii="Calibri" w:hAnsi="Calibri"/>
          <w:sz w:val="22"/>
        </w:rPr>
        <w:t>Set Last PM Mileage to 34,000 km. Target is 34,000 + 5,000 = 39,000 km. Since Current Mileage is 40,000 km, the vehicle is 1,000 km past the deadline. Status instantly switches to Red (Due/Overdue).</w:t>
      </w:r>
    </w:p>
    <w:p>
      <w:pPr>
        <w:pStyle w:val="ListBullet"/>
        <w:spacing w:before="0" w:after="60" w:line="276" w:lineRule="auto"/>
      </w:pPr>
      <w:r>
        <w:rPr>
          <w:rFonts w:ascii="Calibri" w:hAnsi="Calibri"/>
          <w:b/>
          <w:color w:val="1F4E79"/>
          <w:sz w:val="22"/>
        </w:rPr>
        <w:t xml:space="preserve">Demonstrating Mark as Completed: </w:t>
      </w:r>
      <w:r>
        <w:rPr>
          <w:rFonts w:ascii="Calibri" w:hAnsi="Calibri"/>
          <w:sz w:val="22"/>
        </w:rPr>
        <w:t>Click Mark as Completed. The system asks for the completion mileage (enter 40,000 km). Last PM Mileage automatically updates to 40,000 km, the new target becomes 45,000 km, and the status resets to Blue (Upcoming).</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1F4E79"/>
              <w:bottom w:val="none"/>
              <w:right w:val="none"/>
            </w:tcBorders>
            <w:shd w:fill="F2F5F9"/>
          </w:tcPr>
          <w:p>
            <w:pPr>
              <w:spacing w:before="80" w:after="40"/>
              <w:ind w:left="216" w:right="216"/>
            </w:pPr>
            <w:r>
              <w:rPr>
                <w:rFonts w:ascii="Calibri" w:hAnsi="Calibri"/>
                <w:b/>
                <w:color w:val="1F4E79"/>
                <w:sz w:val="22"/>
              </w:rPr>
              <w:t>10-Second Panel Script for PM Schedule:</w:t>
              <w:br/>
            </w:r>
            <w:r>
              <w:rPr>
                <w:rFonts w:ascii="Calibri" w:hAnsi="Calibri"/>
                <w:i/>
                <w:color w:val="3C3C3C"/>
                <w:sz w:val="21"/>
              </w:rPr>
              <w:t>“Distinguished members of the panel, our preventive maintenance module replaces reactive repairs with proactive, automated threshold triggers. By adding the defined interval to the last recorded service mileage, the system automatically calculates the exact target odometer reading and triggers advance alerts before equipment failure can ground an emergency vehicle.”</w:t>
            </w:r>
          </w:p>
        </w:tc>
      </w:tr>
    </w:tbl>
    <w:p>
      <w:pPr>
        <w:keepNext/>
        <w:spacing w:before="320" w:after="120"/>
      </w:pPr>
      <w:r>
        <w:rPr>
          <w:rFonts w:ascii="Calibri" w:hAnsi="Calibri"/>
          <w:b/>
          <w:color w:val="1F4E79"/>
          <w:sz w:val="28"/>
        </w:rPr>
        <w:t>PART 2: ISO/IEC 25010 EVALUATION &amp; SURVEY RESULTS DEFENSE</w:t>
      </w:r>
    </w:p>
    <w:p>
      <w:pPr>
        <w:spacing w:before="0" w:after="80" w:line="276" w:lineRule="auto"/>
      </w:pPr>
      <w:r>
        <w:rPr>
          <w:rFonts w:ascii="Calibri" w:hAnsi="Calibri"/>
          <w:i w:val="0"/>
          <w:sz w:val="22"/>
        </w:rPr>
        <w:t>This section prepares you to defend the software quality framework, the statistical rubric, and the evaluation sample size.</w:t>
      </w:r>
    </w:p>
    <w:p>
      <w:pPr>
        <w:keepNext/>
        <w:spacing w:before="200" w:after="80"/>
      </w:pPr>
      <w:r>
        <w:rPr>
          <w:rFonts w:ascii="Calibri" w:hAnsi="Calibri"/>
          <w:b/>
          <w:color w:val="3C3C3C"/>
          <w:sz w:val="24"/>
        </w:rPr>
        <w:t>1. Why Did We Choose the ISO/IEC 25010 Quality Model?</w:t>
      </w:r>
    </w:p>
    <w:p>
      <w:pPr>
        <w:pStyle w:val="ListBullet"/>
        <w:spacing w:before="0" w:after="60" w:line="276" w:lineRule="auto"/>
      </w:pPr>
      <w:r>
        <w:rPr>
          <w:rFonts w:ascii="Calibri" w:hAnsi="Calibri"/>
          <w:b/>
          <w:color w:val="1F4E79"/>
          <w:sz w:val="22"/>
        </w:rPr>
        <w:t xml:space="preserve">International Gold Standard: </w:t>
      </w:r>
      <w:r>
        <w:rPr>
          <w:rFonts w:ascii="Calibri" w:hAnsi="Calibri"/>
          <w:sz w:val="22"/>
        </w:rPr>
        <w:t>ISO/IEC 25010 is the recognized international standard for Software Product Quality Evaluation (SQuaRE framework). It prevents arbitrary survey questions by organizing evaluation into 6 standardized technical characteristics: Functional Suitability, Performance Efficiency, Security, Usability, Reliability, and Compatibility &amp; Portability.</w:t>
      </w:r>
    </w:p>
    <w:p>
      <w:pPr>
        <w:pStyle w:val="ListBullet"/>
        <w:spacing w:before="0" w:after="60" w:line="276" w:lineRule="auto"/>
      </w:pPr>
      <w:r>
        <w:rPr>
          <w:rFonts w:ascii="Calibri" w:hAnsi="Calibri"/>
          <w:b/>
          <w:color w:val="1F4E79"/>
          <w:sz w:val="22"/>
        </w:rPr>
        <w:t xml:space="preserve">Institutional Requirement: </w:t>
      </w:r>
      <w:r>
        <w:rPr>
          <w:rFonts w:ascii="Calibri" w:hAnsi="Calibri"/>
          <w:sz w:val="22"/>
        </w:rPr>
        <w:t>It is the mandated software evaluation framework prescribed by the College of Computing and Information Sciences (CCIS) at Northwest Samar State University (NwSSU), benchmarked directly against approved capstone manuscripts such as CalbayogGO and PathFinder.</w:t>
      </w:r>
    </w:p>
    <w:p>
      <w:pPr>
        <w:keepNext/>
        <w:spacing w:before="200" w:after="80"/>
      </w:pPr>
      <w:r>
        <w:rPr>
          <w:rFonts w:ascii="Calibri" w:hAnsi="Calibri"/>
          <w:b/>
          <w:color w:val="3C3C3C"/>
          <w:sz w:val="24"/>
        </w:rPr>
        <w:t>2. How Does Chapter 4 Connect to the Chapter 3 NFRs? (The Closed-Loop Defense)</w:t>
      </w:r>
    </w:p>
    <w:p>
      <w:pPr>
        <w:spacing w:before="0" w:after="80" w:line="276" w:lineRule="auto"/>
      </w:pPr>
      <w:r>
        <w:rPr>
          <w:rFonts w:ascii="Calibri" w:hAnsi="Calibri"/>
          <w:i w:val="0"/>
          <w:sz w:val="22"/>
        </w:rPr>
        <w:t>Panelists love to ask how your evaluation proves your system requirements. Your answer is that it forms a closed-loop validation:</w:t>
      </w:r>
    </w:p>
    <w:p>
      <w:pPr>
        <w:pStyle w:val="ListBullet"/>
        <w:spacing w:before="0" w:after="60" w:line="276" w:lineRule="auto"/>
      </w:pPr>
      <w:r>
        <w:rPr>
          <w:rFonts w:ascii="Calibri" w:hAnsi="Calibri"/>
          <w:b/>
          <w:color w:val="1F4E79"/>
          <w:sz w:val="22"/>
        </w:rPr>
        <w:t xml:space="preserve">In Chapter 3 (Setting the Bar): </w:t>
      </w:r>
      <w:r>
        <w:rPr>
          <w:rFonts w:ascii="Calibri" w:hAnsi="Calibri"/>
          <w:sz w:val="22"/>
        </w:rPr>
        <w:t>You defined 5 Non-Functional Requirements (NFR-01 to NFR-05): Performance Efficiency, Security, Usability, Reliability, and Compatibility/Portability.</w:t>
      </w:r>
    </w:p>
    <w:p>
      <w:pPr>
        <w:pStyle w:val="ListBullet"/>
        <w:spacing w:before="0" w:after="60" w:line="276" w:lineRule="auto"/>
      </w:pPr>
      <w:r>
        <w:rPr>
          <w:rFonts w:ascii="Calibri" w:hAnsi="Calibri"/>
          <w:b/>
          <w:color w:val="1F4E79"/>
          <w:sz w:val="22"/>
        </w:rPr>
        <w:t xml:space="preserve">In Chapter 4 (Measuring the Bar): </w:t>
      </w:r>
      <w:r>
        <w:rPr>
          <w:rFonts w:ascii="Calibri" w:hAnsi="Calibri"/>
          <w:sz w:val="22"/>
        </w:rPr>
        <w:t>The evaluation survey directly converted those exact 5 NFRs into 12 concrete statements evaluated by real users.</w:t>
      </w:r>
    </w:p>
    <w:p>
      <w:pPr>
        <w:spacing w:before="0" w:after="80" w:line="276" w:lineRule="auto"/>
      </w:pPr>
      <w:r>
        <w:rPr>
          <w:rFonts w:ascii="Calibri" w:hAnsi="Calibri"/>
          <w:i/>
          <w:sz w:val="22"/>
        </w:rPr>
        <w:t>Therefore, Chapter 3 defined what the system must achieve, and Chapter 4 proved with real client data that the system successfully achieved it.</w:t>
      </w:r>
    </w:p>
    <w:p>
      <w:pPr>
        <w:keepNext/>
        <w:spacing w:before="200" w:after="80"/>
      </w:pPr>
      <w:r>
        <w:rPr>
          <w:rFonts w:ascii="Calibri" w:hAnsi="Calibri"/>
          <w:b/>
          <w:color w:val="3C3C3C"/>
          <w:sz w:val="24"/>
        </w:rPr>
        <w:t>3. What Do Table 16 and Table 17 Mean?</w:t>
      </w:r>
    </w:p>
    <w:p>
      <w:pPr>
        <w:pStyle w:val="ListBullet"/>
        <w:spacing w:before="0" w:after="60" w:line="276" w:lineRule="auto"/>
      </w:pPr>
      <w:r>
        <w:rPr>
          <w:rFonts w:ascii="Calibri" w:hAnsi="Calibri"/>
          <w:b/>
          <w:color w:val="1F4E79"/>
          <w:sz w:val="22"/>
        </w:rPr>
        <w:t xml:space="preserve">Table 16 (The 5-Point Likert Rating Rubric): </w:t>
      </w:r>
      <w:r>
        <w:rPr>
          <w:rFonts w:ascii="Calibri" w:hAnsi="Calibri"/>
          <w:sz w:val="22"/>
        </w:rPr>
        <w:t>Defines the statistical scale used to interpret scores. Each rating step is exactly 0.80 wide (from 1.00 to 1.80, 1.81 to 2.60, 2.61 to 3.40, 3.41 to 4.20, and 4.21 to 5.00). This 0.80 interval comes from dividing the 4-point spread (5.00 minus 1.00) into 5 equal levels. It guarantees that any computed decimal average maps to an objective qualitative description without guessing.</w:t>
      </w:r>
    </w:p>
    <w:p>
      <w:pPr>
        <w:pStyle w:val="ListBullet"/>
        <w:spacing w:before="0" w:after="60" w:line="276" w:lineRule="auto"/>
      </w:pPr>
      <w:r>
        <w:rPr>
          <w:rFonts w:ascii="Calibri" w:hAnsi="Calibri"/>
          <w:b/>
          <w:color w:val="1F4E79"/>
          <w:sz w:val="22"/>
        </w:rPr>
        <w:t xml:space="preserve">Table 17 (The Evaluation Results Matrix, N=8): </w:t>
      </w:r>
      <w:r>
        <w:rPr>
          <w:rFonts w:ascii="Calibri" w:hAnsi="Calibri"/>
          <w:sz w:val="22"/>
        </w:rPr>
        <w:t>Presents the raw scores from the 8 evaluators across the 12 criteria. Every single statement received a weighted mean between 4.63 and 4.88, producing an overall Grand Mean of 4.73. Under Table 16, a score of 4.73 objectively interprets as 'Strongly Agree (Highly Acceptable)'.</w:t>
      </w:r>
    </w:p>
    <w:p>
      <w:pPr>
        <w:keepNext/>
        <w:spacing w:before="200" w:after="80"/>
      </w:pPr>
      <w:r>
        <w:rPr>
          <w:rFonts w:ascii="Calibri" w:hAnsi="Calibri"/>
          <w:b/>
          <w:color w:val="3C3C3C"/>
          <w:sz w:val="24"/>
        </w:rPr>
        <w:t>4. The Killer Defense Question: 'Are 8 Participants (N=8) Enough?'</w:t>
      </w:r>
    </w:p>
    <w:p>
      <w:pPr>
        <w:spacing w:before="0" w:after="80" w:line="276" w:lineRule="auto"/>
      </w:pPr>
      <w:r>
        <w:rPr>
          <w:rFonts w:ascii="Calibri" w:hAnsi="Calibri"/>
          <w:i w:val="0"/>
          <w:sz w:val="22"/>
        </w:rPr>
        <w:t>If an IT panelist asks whether N=8 is too small to prove the system works, do not panic. Deliver this authoritative, PhD-grounded response:</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1F4E79"/>
              <w:bottom w:val="none"/>
              <w:right w:val="none"/>
            </w:tcBorders>
            <w:shd w:fill="F2F5F9"/>
          </w:tcPr>
          <w:p>
            <w:pPr>
              <w:spacing w:before="80" w:after="40"/>
              <w:ind w:left="216" w:right="216"/>
            </w:pPr>
            <w:r>
              <w:rPr>
                <w:rFonts w:ascii="Calibri" w:hAnsi="Calibri"/>
                <w:b/>
                <w:color w:val="1F4E79"/>
                <w:sz w:val="22"/>
              </w:rPr>
              <w:t>Word-for-Word Script for 'Is N=8 enough?':</w:t>
              <w:br/>
            </w:r>
            <w:r>
              <w:rPr>
                <w:rFonts w:ascii="Calibri" w:hAnsi="Calibri"/>
                <w:i/>
                <w:color w:val="3C3C3C"/>
                <w:sz w:val="21"/>
              </w:rPr>
              <w:t>“Distinguished members of the panel, in software engineering research, software evaluation follows Purposive Expert Sampling rather than random demographic population surveys. Our platform is a specialized municipal enterprise system for rescue fleet logistics, not a mass-consumer social app.</w:t>
              <w:br/>
              <w:br/>
              <w:t>According to the internationally recognized Nielsen Norman Group usability engineering framework and ISO software evaluation standards, testing with 5 to 8 representative domain experts uncovers over 80% to 85% of software usability defects, workflow bottlenecks, and architectural issues.</w:t>
              <w:br/>
              <w:br/>
              <w:t>Our 8 evaluators were purposively selected across all four municipal rescue agencies (CDRRMO, BFP, CHO, and PNP) and represented the exact personnel who govern fleet readiness: Logistics Section Heads, Supply Officers, Medical Officers, Dispatchers, and Active Rescue Drivers. Their unanimous approval with a 4.73 Grand Mean provides high-fidelity empirical proof of the system's operational suitability.”</w:t>
            </w:r>
          </w:p>
        </w:tc>
      </w:tr>
    </w:tbl>
    <w:p>
      <w:pPr>
        <w:keepNext/>
        <w:spacing w:before="320" w:after="120"/>
      </w:pPr>
      <w:r>
        <w:rPr>
          <w:rFonts w:ascii="Calibri" w:hAnsi="Calibri"/>
          <w:b/>
          <w:color w:val="1F4E79"/>
          <w:sz w:val="28"/>
        </w:rPr>
        <w:t>PART 3: ENTITY RELATIONSHIP DIAGRAM (ERD) ARCHITECTURE</w:t>
      </w:r>
    </w:p>
    <w:p>
      <w:pPr>
        <w:spacing w:before="0" w:after="80" w:line="276" w:lineRule="auto"/>
      </w:pPr>
      <w:r>
        <w:rPr>
          <w:rFonts w:ascii="Calibri" w:hAnsi="Calibri"/>
          <w:i w:val="0"/>
          <w:sz w:val="22"/>
        </w:rPr>
        <w:t>This section clears up why certain tables connect multiple times, and why notifications is placed in the administrative diagram.</w:t>
      </w:r>
    </w:p>
    <w:p>
      <w:pPr>
        <w:keepNext/>
        <w:spacing w:before="200" w:after="80"/>
      </w:pPr>
      <w:r>
        <w:rPr>
          <w:rFonts w:ascii="Calibri" w:hAnsi="Calibri"/>
          <w:b/>
          <w:color w:val="3C3C3C"/>
          <w:sz w:val="24"/>
        </w:rPr>
        <w:t>1. The 'Two Signatures' Rule (Why Users Connects Twice to Other Tables)</w:t>
      </w:r>
    </w:p>
    <w:p>
      <w:pPr>
        <w:spacing w:before="0" w:after="80" w:line="276" w:lineRule="auto"/>
      </w:pPr>
      <w:r>
        <w:rPr>
          <w:rFonts w:ascii="Calibri" w:hAnsi="Calibri"/>
          <w:i w:val="0"/>
          <w:sz w:val="22"/>
        </w:rPr>
        <w:t>In relational database design, when the same table plays two different functional roles on one transaction, it must have two foreign keys. Think of it as requiring two signatures on an official government document:</w:t>
      </w:r>
    </w:p>
    <w:p>
      <w:pPr>
        <w:spacing w:before="0" w:after="80" w:line="276" w:lineRule="auto"/>
      </w:pPr>
      <w:r>
        <w:rPr>
          <w:rFonts w:ascii="Calibri" w:hAnsi="Calibri"/>
          <w:b/>
          <w:sz w:val="22"/>
        </w:rPr>
        <w:t xml:space="preserve">1. Inspections: </w:t>
      </w:r>
      <w:r>
        <w:rPr>
          <w:rFonts w:ascii="Calibri" w:hAnsi="Calibri"/>
          <w:i w:val="0"/>
          <w:sz w:val="22"/>
        </w:rPr>
        <w:t>A. Users connects TWICE to Inspections:</w:t>
      </w:r>
    </w:p>
    <w:p>
      <w:pPr>
        <w:pStyle w:val="ListBullet"/>
        <w:spacing w:before="0" w:after="60" w:line="276" w:lineRule="auto"/>
      </w:pPr>
      <w:r>
        <w:rPr>
          <w:rFonts w:ascii="Calibri" w:hAnsi="Calibri"/>
          <w:b/>
          <w:color w:val="1F4E79"/>
          <w:sz w:val="22"/>
        </w:rPr>
        <w:t xml:space="preserve">driver_id (Signature 1): </w:t>
      </w:r>
      <w:r>
        <w:rPr>
          <w:rFonts w:ascii="Calibri" w:hAnsi="Calibri"/>
          <w:sz w:val="22"/>
        </w:rPr>
        <w:t>Points to Users to record who drove and inspected the vehicle in the morning.</w:t>
      </w:r>
    </w:p>
    <w:p>
      <w:pPr>
        <w:pStyle w:val="ListBullet"/>
        <w:spacing w:before="0" w:after="60" w:line="276" w:lineRule="auto"/>
      </w:pPr>
      <w:r>
        <w:rPr>
          <w:rFonts w:ascii="Calibri" w:hAnsi="Calibri"/>
          <w:b/>
          <w:color w:val="1F4E79"/>
          <w:sz w:val="22"/>
        </w:rPr>
        <w:t xml:space="preserve">reviewed_by (Signature 2): </w:t>
      </w:r>
      <w:r>
        <w:rPr>
          <w:rFonts w:ascii="Calibri" w:hAnsi="Calibri"/>
          <w:sz w:val="22"/>
        </w:rPr>
        <w:t>Points to Users to record which supervisor or admin reviewed and validated the flagged defects.</w:t>
      </w:r>
    </w:p>
    <w:p>
      <w:pPr>
        <w:spacing w:before="0" w:after="80" w:line="276" w:lineRule="auto"/>
      </w:pPr>
      <w:r>
        <w:rPr>
          <w:rFonts w:ascii="Calibri" w:hAnsi="Calibri"/>
          <w:i/>
          <w:sz w:val="22"/>
        </w:rPr>
        <w:t>If we only had one connection line, the database could only remember the driver OR the supervisor, but never both. Having two connections preserves operational accountability and non-repudiation.</w:t>
      </w:r>
    </w:p>
    <w:p>
      <w:pPr>
        <w:spacing w:before="0" w:after="80" w:line="276" w:lineRule="auto"/>
      </w:pPr>
      <w:r>
        <w:rPr>
          <w:rFonts w:ascii="Calibri" w:hAnsi="Calibri"/>
          <w:b/>
          <w:sz w:val="22"/>
        </w:rPr>
        <w:t xml:space="preserve">2. Damage Reports: </w:t>
      </w:r>
      <w:r>
        <w:rPr>
          <w:rFonts w:ascii="Calibri" w:hAnsi="Calibri"/>
          <w:i w:val="0"/>
          <w:sz w:val="22"/>
        </w:rPr>
        <w:t>B. Users connects TWICE to Damage Reports:</w:t>
      </w:r>
    </w:p>
    <w:p>
      <w:pPr>
        <w:pStyle w:val="ListBullet"/>
        <w:spacing w:before="0" w:after="60" w:line="276" w:lineRule="auto"/>
      </w:pPr>
      <w:r>
        <w:rPr>
          <w:rFonts w:ascii="Calibri" w:hAnsi="Calibri"/>
          <w:b/>
          <w:color w:val="1F4E79"/>
          <w:sz w:val="22"/>
        </w:rPr>
        <w:t xml:space="preserve">driver_id (Signature 1): </w:t>
      </w:r>
      <w:r>
        <w:rPr>
          <w:rFonts w:ascii="Calibri" w:hAnsi="Calibri"/>
          <w:sz w:val="22"/>
        </w:rPr>
        <w:t>Points to Users to record which field driver reported the breakdown or collision.</w:t>
      </w:r>
    </w:p>
    <w:p>
      <w:pPr>
        <w:pStyle w:val="ListBullet"/>
        <w:spacing w:before="0" w:after="60" w:line="276" w:lineRule="auto"/>
      </w:pPr>
      <w:r>
        <w:rPr>
          <w:rFonts w:ascii="Calibri" w:hAnsi="Calibri"/>
          <w:b/>
          <w:color w:val="1F4E79"/>
          <w:sz w:val="22"/>
        </w:rPr>
        <w:t xml:space="preserve">reviewed_by (Signature 2): </w:t>
      </w:r>
      <w:r>
        <w:rPr>
          <w:rFonts w:ascii="Calibri" w:hAnsi="Calibri"/>
          <w:sz w:val="22"/>
        </w:rPr>
        <w:t>Points to Users to record which admin assessed the damage and ordered repairs.</w:t>
      </w:r>
    </w:p>
    <w:p>
      <w:pPr>
        <w:spacing w:before="0" w:after="80" w:line="276" w:lineRule="auto"/>
      </w:pPr>
      <w:r>
        <w:rPr>
          <w:rFonts w:ascii="Calibri" w:hAnsi="Calibri"/>
          <w:i/>
          <w:sz w:val="22"/>
        </w:rPr>
        <w:t>This enforces administrative separation of duties: the person filing the defect is never the person approving the repair.</w:t>
      </w:r>
    </w:p>
    <w:p>
      <w:pPr>
        <w:spacing w:before="0" w:after="80" w:line="276" w:lineRule="auto"/>
      </w:pPr>
      <w:r>
        <w:rPr>
          <w:rFonts w:ascii="Calibri" w:hAnsi="Calibri"/>
          <w:b/>
          <w:sz w:val="22"/>
        </w:rPr>
        <w:t xml:space="preserve">3. Vehicles: </w:t>
      </w:r>
      <w:r>
        <w:rPr>
          <w:rFonts w:ascii="Calibri" w:hAnsi="Calibri"/>
          <w:i w:val="0"/>
          <w:sz w:val="22"/>
        </w:rPr>
        <w:t>C. Users connects TWICE to Vehicles:</w:t>
      </w:r>
    </w:p>
    <w:p>
      <w:pPr>
        <w:pStyle w:val="ListBullet"/>
        <w:spacing w:before="0" w:after="60" w:line="276" w:lineRule="auto"/>
      </w:pPr>
      <w:r>
        <w:rPr>
          <w:rFonts w:ascii="Calibri" w:hAnsi="Calibri"/>
          <w:b/>
          <w:color w:val="1F4E79"/>
          <w:sz w:val="22"/>
        </w:rPr>
        <w:t xml:space="preserve">assigned_driver_id (Primary): </w:t>
      </w:r>
      <w:r>
        <w:rPr>
          <w:rFonts w:ascii="Calibri" w:hAnsi="Calibri"/>
          <w:sz w:val="22"/>
        </w:rPr>
        <w:t>Points to Users to record the designated primary driver responsible for the unit.</w:t>
      </w:r>
    </w:p>
    <w:p>
      <w:pPr>
        <w:pStyle w:val="ListBullet"/>
        <w:spacing w:before="0" w:after="60" w:line="276" w:lineRule="auto"/>
      </w:pPr>
      <w:r>
        <w:rPr>
          <w:rFonts w:ascii="Calibri" w:hAnsi="Calibri"/>
          <w:b/>
          <w:color w:val="1F4E79"/>
          <w:sz w:val="22"/>
        </w:rPr>
        <w:t xml:space="preserve">secondary_driver_id (Alternate): </w:t>
      </w:r>
      <w:r>
        <w:rPr>
          <w:rFonts w:ascii="Calibri" w:hAnsi="Calibri"/>
          <w:sz w:val="22"/>
        </w:rPr>
        <w:t>Points to Users to record the secondary co-driver.</w:t>
      </w:r>
    </w:p>
    <w:p>
      <w:pPr>
        <w:spacing w:before="0" w:after="80" w:line="276" w:lineRule="auto"/>
      </w:pPr>
      <w:r>
        <w:rPr>
          <w:rFonts w:ascii="Calibri" w:hAnsi="Calibri"/>
          <w:i/>
          <w:sz w:val="22"/>
        </w:rPr>
        <w:t>Grounded in Calbayog City field facts: Emergency rescue vehicles (such as BFP fire trucks and CHO ambulances) operate in shifts and are frequently dual-crewed. Both drivers are registered accounts in the users table, so the vehicles table must connect twice.</w:t>
      </w:r>
    </w:p>
    <w:p>
      <w:pPr>
        <w:keepNext/>
        <w:spacing w:before="200" w:after="80"/>
      </w:pPr>
      <w:r>
        <w:rPr>
          <w:rFonts w:ascii="Calibri" w:hAnsi="Calibri"/>
          <w:b/>
          <w:color w:val="3C3C3C"/>
          <w:sz w:val="24"/>
        </w:rPr>
        <w:t>2. Why Are Notifications in Figure 6.2 (Admin) and Not Figure 6.1 (Driver)?</w:t>
      </w:r>
    </w:p>
    <w:p>
      <w:pPr>
        <w:pStyle w:val="ListBullet"/>
        <w:spacing w:before="0" w:after="60" w:line="276" w:lineRule="auto"/>
      </w:pPr>
      <w:r>
        <w:rPr>
          <w:rFonts w:ascii="Calibri" w:hAnsi="Calibri"/>
          <w:b/>
          <w:color w:val="1F4E79"/>
          <w:sz w:val="22"/>
        </w:rPr>
        <w:t xml:space="preserve">Subsystem Scoping to Prevent Visual Clutter: </w:t>
      </w:r>
      <w:r>
        <w:rPr>
          <w:rFonts w:ascii="Calibri" w:hAnsi="Calibri"/>
          <w:sz w:val="22"/>
        </w:rPr>
        <w:t>Our database contains 11 core domain tables. Placing 11 tables with dozens of crossing arrows onto a single printed page would look like a tangled spider web and make the text unreadable.</w:t>
      </w:r>
    </w:p>
    <w:p>
      <w:pPr>
        <w:pStyle w:val="ListBullet"/>
        <w:spacing w:before="0" w:after="60" w:line="276" w:lineRule="auto"/>
      </w:pPr>
      <w:r>
        <w:rPr>
          <w:rFonts w:ascii="Calibri" w:hAnsi="Calibri"/>
          <w:b/>
          <w:color w:val="1F4E79"/>
          <w:sz w:val="22"/>
        </w:rPr>
        <w:t xml:space="preserve">Clean Separation of Concerns: </w:t>
      </w:r>
      <w:r>
        <w:rPr>
          <w:rFonts w:ascii="Calibri" w:hAnsi="Calibri"/>
          <w:sz w:val="22"/>
        </w:rPr>
        <w:t>Figure 6.1 focuses strictly on the Driver Pre-Trip Inspection and Defect Catalog hierarchy (inspections, inspection_items, inspection_checklist_items, damage_reports). Adding notifications would overcrowd this pre-trip view.</w:t>
      </w:r>
    </w:p>
    <w:p>
      <w:pPr>
        <w:pStyle w:val="ListBullet"/>
        <w:spacing w:before="0" w:after="60" w:line="276" w:lineRule="auto"/>
      </w:pPr>
      <w:r>
        <w:rPr>
          <w:rFonts w:ascii="Calibri" w:hAnsi="Calibri"/>
          <w:b/>
          <w:color w:val="1F4E79"/>
          <w:sz w:val="22"/>
        </w:rPr>
        <w:t xml:space="preserve">Administrative Event Triggers: </w:t>
      </w:r>
      <w:r>
        <w:rPr>
          <w:rFonts w:ascii="Calibri" w:hAnsi="Calibri"/>
          <w:sz w:val="22"/>
        </w:rPr>
        <w:t>Notifications was placed in Figure 6.2 because system notifications are generated by administrative fleet events: preventive maintenance deadlines, vehicle dispatches, repair completions, and driver license expirations.</w:t>
      </w:r>
    </w:p>
    <w:p>
      <w:pPr>
        <w:pStyle w:val="ListBullet"/>
        <w:spacing w:before="0" w:after="60" w:line="276" w:lineRule="auto"/>
      </w:pPr>
      <w:r>
        <w:rPr>
          <w:rFonts w:ascii="Calibri" w:hAnsi="Calibri"/>
          <w:b/>
          <w:color w:val="1F4E79"/>
          <w:sz w:val="22"/>
        </w:rPr>
        <w:t xml:space="preserve">In the Actual MySQL Database: </w:t>
      </w:r>
      <w:r>
        <w:rPr>
          <w:rFonts w:ascii="Calibri" w:hAnsi="Calibri"/>
          <w:sz w:val="22"/>
        </w:rPr>
        <w:t>The notifications table has a user_id foreign key that connects to both drivers and administrators alike.</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1F4E79"/>
              <w:bottom w:val="none"/>
              <w:right w:val="none"/>
            </w:tcBorders>
            <w:shd w:fill="F2F5F9"/>
          </w:tcPr>
          <w:p>
            <w:pPr>
              <w:spacing w:before="80" w:after="40"/>
              <w:ind w:left="216" w:right="216"/>
            </w:pPr>
            <w:r>
              <w:rPr>
                <w:rFonts w:ascii="Calibri" w:hAnsi="Calibri"/>
                <w:b/>
                <w:color w:val="1F4E79"/>
                <w:sz w:val="22"/>
              </w:rPr>
              <w:t>10-Second Panel Script for ERD Relationships:</w:t>
              <w:br/>
            </w:r>
            <w:r>
              <w:rPr>
                <w:rFonts w:ascii="Calibri" w:hAnsi="Calibri"/>
                <w:i/>
                <w:color w:val="3C3C3C"/>
                <w:sz w:val="21"/>
              </w:rPr>
              <w:t>“Distinguished members of the panel, the dual lines connecting Users to Inspections, Damage Reports, and Vehicles are not errors—they represent Third Normal Form (3NF) Role-Based Foreign Keys. They enforce administrative separation of duties by capturing both the creator and the reviewer on every report, and support dual-crewed vehicle assignments during emergency shifts.”</w:t>
            </w:r>
          </w:p>
        </w:tc>
      </w:tr>
    </w:tbl>
    <w:p>
      <w:pPr>
        <w:keepNext/>
        <w:spacing w:before="320" w:after="120"/>
      </w:pPr>
      <w:r>
        <w:rPr>
          <w:rFonts w:ascii="Calibri" w:hAnsi="Calibri"/>
          <w:b/>
          <w:color w:val="1F4E79"/>
          <w:sz w:val="28"/>
        </w:rPr>
        <w:t>PART 4: TOP 5 TOUGH CHAPTER 4 IT PANELIST QUESTIONS &amp; GROUNDED CODE RESPONSES</w:t>
      </w:r>
    </w:p>
    <w:p>
      <w:pPr>
        <w:spacing w:before="0" w:after="80" w:line="276" w:lineRule="auto"/>
      </w:pPr>
      <w:r>
        <w:rPr>
          <w:rFonts w:ascii="Calibri" w:hAnsi="Calibri"/>
          <w:i w:val="0"/>
          <w:sz w:val="22"/>
        </w:rPr>
        <w:t>These five questions simulate an experienced IT PhD Capstone Panelist grilling your technical architecture, data integrity, and implementation constraints. Every answer is grounded directly in your codebase and manuscript boundaries.</w:t>
      </w:r>
    </w:p>
    <w:p>
      <w:pPr>
        <w:keepNext/>
        <w:spacing w:before="200" w:after="80"/>
      </w:pPr>
      <w:r>
        <w:rPr>
          <w:rFonts w:ascii="Calibri" w:hAnsi="Calibri"/>
          <w:b/>
          <w:color w:val="3C3C3C"/>
          <w:sz w:val="24"/>
        </w:rPr>
        <w:t>Question 1 (Multi-Tenancy &amp; Data Isolation):</w:t>
      </w:r>
    </w:p>
    <w:p>
      <w:pPr>
        <w:spacing w:before="0" w:after="80" w:line="276" w:lineRule="auto"/>
      </w:pPr>
      <w:r>
        <w:rPr>
          <w:rFonts w:ascii="Calibri" w:hAnsi="Calibri"/>
          <w:i/>
          <w:sz w:val="22"/>
        </w:rPr>
        <w:t>“You have four distinct government agencies (CDRRMO, BFP, CHO, PNP) sharing one centralized MySQL database. How does your backend guarantee that a CHO Administrator cannot view, edit, or delete CDRRMO vehicles, dispatch records, or driver profiles? Where is this enforced in code, and what stops an admin from tampering with the URL or payload ID?”</w:t>
      </w:r>
    </w:p>
    <w:p>
      <w:pPr>
        <w:pStyle w:val="ListBullet"/>
        <w:spacing w:before="0" w:after="60" w:line="276" w:lineRule="auto"/>
      </w:pPr>
      <w:r>
        <w:rPr>
          <w:rFonts w:ascii="Calibri" w:hAnsi="Calibri"/>
          <w:b/>
          <w:color w:val="1F4E79"/>
          <w:sz w:val="22"/>
        </w:rPr>
        <w:t xml:space="preserve">Source Code Architecture: </w:t>
      </w:r>
      <w:r>
        <w:rPr>
          <w:rFonts w:ascii="Calibri" w:hAnsi="Calibri"/>
          <w:sz w:val="22"/>
        </w:rPr>
        <w:t>Our isolation is enforced at the Data Access Layer using Laravel Global Eloquent Scopes, not just front-end menu hiding.</w:t>
      </w:r>
    </w:p>
    <w:p>
      <w:pPr>
        <w:pStyle w:val="ListBullet"/>
        <w:spacing w:before="0" w:after="60" w:line="276" w:lineRule="auto"/>
      </w:pPr>
      <w:r>
        <w:rPr>
          <w:rFonts w:ascii="Calibri" w:hAnsi="Calibri"/>
          <w:b/>
          <w:color w:val="1F4E79"/>
          <w:sz w:val="22"/>
        </w:rPr>
        <w:t xml:space="preserve">Core File 1 (Trait): </w:t>
      </w:r>
      <w:r>
        <w:rPr>
          <w:rFonts w:ascii="Calibri" w:hAnsi="Calibri"/>
          <w:sz w:val="22"/>
        </w:rPr>
        <w:t>backend/app/Models/Concerns/BelongsToAgency.php (Lines 16-33). This trait is attached to all agency domain models (Vehicle, Inspection, DamageReport, PmSchedule, Dispatch, DriverDetail). It registers AgencyScope globally and auto-stamps agency_id from Auth::user()-&gt;agency_id on record creation.</w:t>
      </w:r>
    </w:p>
    <w:p>
      <w:pPr>
        <w:pStyle w:val="ListBullet"/>
        <w:spacing w:before="0" w:after="60" w:line="276" w:lineRule="auto"/>
      </w:pPr>
      <w:r>
        <w:rPr>
          <w:rFonts w:ascii="Calibri" w:hAnsi="Calibri"/>
          <w:b/>
          <w:color w:val="1F4E79"/>
          <w:sz w:val="22"/>
        </w:rPr>
        <w:t xml:space="preserve">Core File 2 (Scope): </w:t>
      </w:r>
      <w:r>
        <w:rPr>
          <w:rFonts w:ascii="Calibri" w:hAnsi="Calibri"/>
          <w:sz w:val="22"/>
        </w:rPr>
        <w:t>backend/app/Models/Scopes/AgencyScope.php (Lines 16-29). It intercepts every Eloquent query and appends: $builder-&gt;where($model-&gt;qualifyColumn('agency_id'), $user-&gt;agency_id).</w:t>
      </w:r>
    </w:p>
    <w:p>
      <w:pPr>
        <w:pStyle w:val="ListBullet"/>
        <w:spacing w:before="0" w:after="60" w:line="276" w:lineRule="auto"/>
      </w:pPr>
      <w:r>
        <w:rPr>
          <w:rFonts w:ascii="Calibri" w:hAnsi="Calibri"/>
          <w:b/>
          <w:color w:val="1F4E79"/>
          <w:sz w:val="22"/>
        </w:rPr>
        <w:t xml:space="preserve">Core File 3 (Validation): </w:t>
      </w:r>
      <w:r>
        <w:rPr>
          <w:rFonts w:ascii="Calibri" w:hAnsi="Calibri"/>
          <w:sz w:val="22"/>
        </w:rPr>
        <w:t>backend/app/Http/Requests/StoreVehicleRequest.php (Lines 31-79). Custom validation rules explicitly scope plate uniqueness, engine numbers, chassis numbers, and driver assignment foreign keys to where('agency_id', $agencyId).</w:t>
      </w:r>
    </w:p>
    <w:p>
      <w:pPr>
        <w:pStyle w:val="ListBullet"/>
        <w:spacing w:before="0" w:after="60" w:line="276" w:lineRule="auto"/>
      </w:pPr>
      <w:r>
        <w:rPr>
          <w:rFonts w:ascii="Calibri" w:hAnsi="Calibri"/>
          <w:b/>
          <w:color w:val="1F4E79"/>
          <w:sz w:val="22"/>
        </w:rPr>
        <w:t xml:space="preserve">Core File 4 (Controller): </w:t>
      </w:r>
      <w:r>
        <w:rPr>
          <w:rFonts w:ascii="Calibri" w:hAnsi="Calibri"/>
          <w:sz w:val="22"/>
        </w:rPr>
        <w:t>backend/app/Http/Controllers/Web/VehicleController.php (Lines 23-45). Controller queries like Vehicle::query() automatically inherit the scope without needing manual WHERE clauses.</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1F4E79"/>
              <w:bottom w:val="none"/>
              <w:right w:val="none"/>
            </w:tcBorders>
            <w:shd w:fill="F2F5F9"/>
          </w:tcPr>
          <w:p>
            <w:pPr>
              <w:spacing w:before="80" w:after="40"/>
              <w:ind w:left="216" w:right="216"/>
            </w:pPr>
            <w:r>
              <w:rPr>
                <w:rFonts w:ascii="Calibri" w:hAnsi="Calibri"/>
                <w:b/>
                <w:color w:val="1F4E79"/>
                <w:sz w:val="22"/>
              </w:rPr>
              <w:t>Grounded Defense Script for Q1:</w:t>
              <w:br/>
            </w:r>
            <w:r>
              <w:rPr>
                <w:rFonts w:ascii="Calibri" w:hAnsi="Calibri"/>
                <w:i/>
                <w:color w:val="3C3C3C"/>
                <w:sz w:val="21"/>
              </w:rPr>
              <w:t>“Distinguished members of the panel, our multi-agency data isolation operates at the ORM query level through Laravel's BelongsToAgency trait and AgencyScope class (located at backend/app/Models/Concerns/BelongsToAgency.php and backend/app/Models/Scopes/AgencyScope.php).</w:t>
              <w:br/>
              <w:br/>
              <w:t>Whenever a controller executes an Eloquent query, AgencyScope automatically intercepts the SQL and injects WHERE agency_id = [current_user_agency_id]. If a CHO administrator attempts URL tampering by requesting /vehicles/42 where vehicle 42 belongs to BFP, the database query produces zero matching rows and immediately throws an HTTP 404 Not Found. Furthermore, on record creation, the trait automatically stamps the authenticated user's agency_id, making client payload tampering impossible.”</w:t>
            </w:r>
          </w:p>
        </w:tc>
      </w:tr>
    </w:tbl>
    <w:p>
      <w:pPr>
        <w:keepNext/>
        <w:spacing w:before="200" w:after="80"/>
      </w:pPr>
      <w:r>
        <w:rPr>
          <w:rFonts w:ascii="Calibri" w:hAnsi="Calibri"/>
          <w:b/>
          <w:color w:val="3C3C3C"/>
          <w:sz w:val="24"/>
        </w:rPr>
        <w:t>Question 2 (ISO/IEC 25010 Sample Size &amp; Scientific Validity):</w:t>
      </w:r>
    </w:p>
    <w:p>
      <w:pPr>
        <w:spacing w:before="0" w:after="80" w:line="276" w:lineRule="auto"/>
      </w:pPr>
      <w:r>
        <w:rPr>
          <w:rFonts w:ascii="Calibri" w:hAnsi="Calibri"/>
          <w:i/>
          <w:sz w:val="22"/>
        </w:rPr>
        <w:t>“In Table 17, you evaluated your system with only 8 respondents and obtained a Grand Mean of 4.73. Statistically, an N=8 is vulnerable to sample bias. How do you defend that 8 evaluators provide sufficient scientific validity for a municipal capstone project?”</w:t>
      </w:r>
    </w:p>
    <w:p>
      <w:pPr>
        <w:pStyle w:val="ListBullet"/>
        <w:spacing w:before="0" w:after="60" w:line="276" w:lineRule="auto"/>
      </w:pPr>
      <w:r>
        <w:rPr>
          <w:rFonts w:ascii="Calibri" w:hAnsi="Calibri"/>
          <w:b/>
          <w:color w:val="1F4E79"/>
          <w:sz w:val="22"/>
        </w:rPr>
        <w:t xml:space="preserve">Methodology Distinction: </w:t>
      </w:r>
      <w:r>
        <w:rPr>
          <w:rFonts w:ascii="Calibri" w:hAnsi="Calibri"/>
          <w:sz w:val="22"/>
        </w:rPr>
        <w:t>Software product quality evaluation is an Engineering Evaluation, not a demographic census or public opinion survey.</w:t>
      </w:r>
    </w:p>
    <w:p>
      <w:pPr>
        <w:pStyle w:val="ListBullet"/>
        <w:spacing w:before="0" w:after="60" w:line="276" w:lineRule="auto"/>
      </w:pPr>
      <w:r>
        <w:rPr>
          <w:rFonts w:ascii="Calibri" w:hAnsi="Calibri"/>
          <w:b/>
          <w:color w:val="1F4E79"/>
          <w:sz w:val="22"/>
        </w:rPr>
        <w:t xml:space="preserve">Theoretical Foundation: </w:t>
      </w:r>
      <w:r>
        <w:rPr>
          <w:rFonts w:ascii="Calibri" w:hAnsi="Calibri"/>
          <w:sz w:val="22"/>
        </w:rPr>
        <w:t>Rooted in Jakob Nielsen’s Usability Engineering Framework (Nielsen Norman Group) and ISO/IEC 25010 testing standards, which demonstrate that 5 to 8 domain expert users uncover 80% to 85% of usability and workflow bottlenecks.</w:t>
      </w:r>
    </w:p>
    <w:p>
      <w:pPr>
        <w:pStyle w:val="ListBullet"/>
        <w:spacing w:before="0" w:after="60" w:line="276" w:lineRule="auto"/>
      </w:pPr>
      <w:r>
        <w:rPr>
          <w:rFonts w:ascii="Calibri" w:hAnsi="Calibri"/>
          <w:b/>
          <w:color w:val="1F4E79"/>
          <w:sz w:val="22"/>
        </w:rPr>
        <w:t xml:space="preserve">Purposive Multi-Agency Representation: </w:t>
      </w:r>
      <w:r>
        <w:rPr>
          <w:rFonts w:ascii="Calibri" w:hAnsi="Calibri"/>
          <w:sz w:val="22"/>
        </w:rPr>
        <w:t>The 8 evaluators were purposively selected across all 4 rescue agencies (2 each from CDRRMO, BFP, CHO, and PNP) comprising Logistics Heads, Supply Officers, Dispatchers, and Rescue Drivers.</w:t>
      </w:r>
    </w:p>
    <w:p>
      <w:pPr>
        <w:pStyle w:val="ListBullet"/>
        <w:spacing w:before="0" w:after="60" w:line="276" w:lineRule="auto"/>
      </w:pPr>
      <w:r>
        <w:rPr>
          <w:rFonts w:ascii="Calibri" w:hAnsi="Calibri"/>
          <w:b/>
          <w:color w:val="1F4E79"/>
          <w:sz w:val="22"/>
        </w:rPr>
        <w:t xml:space="preserve">Mathematical Consistency: </w:t>
      </w:r>
      <w:r>
        <w:rPr>
          <w:rFonts w:ascii="Calibri" w:hAnsi="Calibri"/>
          <w:sz w:val="22"/>
        </w:rPr>
        <w:t>Evaluated across 12 criteria using a standardized 0.80 interval Likert scale, yielding a Grand Mean of 4.73 (Strongly Agree / Highly Acceptable).</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1F4E79"/>
              <w:bottom w:val="none"/>
              <w:right w:val="none"/>
            </w:tcBorders>
            <w:shd w:fill="F2F5F9"/>
          </w:tcPr>
          <w:p>
            <w:pPr>
              <w:spacing w:before="80" w:after="40"/>
              <w:ind w:left="216" w:right="216"/>
            </w:pPr>
            <w:r>
              <w:rPr>
                <w:rFonts w:ascii="Calibri" w:hAnsi="Calibri"/>
                <w:b/>
                <w:color w:val="1F4E79"/>
                <w:sz w:val="22"/>
              </w:rPr>
              <w:t>Grounded Defense Script for Q2:</w:t>
              <w:br/>
            </w:r>
            <w:r>
              <w:rPr>
                <w:rFonts w:ascii="Calibri" w:hAnsi="Calibri"/>
                <w:i/>
                <w:color w:val="3C3C3C"/>
                <w:sz w:val="21"/>
              </w:rPr>
              <w:t>“Distinguished members of the panel, our evaluation utilized Purposive Expert Sampling rather than random public sampling. In software engineering, testing an enterprise logistics system with 8 active domain practitioners—specifically the Section Heads, Dispatchers, and Rescue Drivers of Calbayog's CDRRMO, BFP, CHO, and PNP—yields actionable empirical validity. As established by Jakob Nielsen and ISO evaluation literature, 5 to 8 domain evaluators detect over 80% of usability and workflow barriers. Their unanimous rating of 4.73 objectively validates that the system fulfills all operational criteria established in Chapter 3.”</w:t>
            </w:r>
          </w:p>
        </w:tc>
      </w:tr>
    </w:tbl>
    <w:p>
      <w:pPr>
        <w:keepNext/>
        <w:spacing w:before="200" w:after="80"/>
      </w:pPr>
      <w:r>
        <w:rPr>
          <w:rFonts w:ascii="Calibri" w:hAnsi="Calibri"/>
          <w:b/>
          <w:color w:val="3C3C3C"/>
          <w:sz w:val="24"/>
        </w:rPr>
        <w:t>Question 3 (Network Dependency, Offline Capability, and BLOWBAGETS Inspection):</w:t>
      </w:r>
    </w:p>
    <w:p>
      <w:pPr>
        <w:spacing w:before="0" w:after="80" w:line="276" w:lineRule="auto"/>
      </w:pPr>
      <w:r>
        <w:rPr>
          <w:rFonts w:ascii="Calibri" w:hAnsi="Calibri"/>
          <w:i/>
          <w:sz w:val="22"/>
        </w:rPr>
        <w:t>“Rescue operations often occur in disaster zones or low-connectivity areas where internet access is unavailable. What happens if a driver conducts a morning BLOWBAGETS inspection or encounters a breakdown in an area without cell signal? Does your mobile application support offline data queuing and automatic synchronization?”</w:t>
      </w:r>
    </w:p>
    <w:p>
      <w:pPr>
        <w:pStyle w:val="ListBullet"/>
        <w:spacing w:before="0" w:after="60" w:line="276" w:lineRule="auto"/>
      </w:pPr>
      <w:r>
        <w:rPr>
          <w:rFonts w:ascii="Calibri" w:hAnsi="Calibri"/>
          <w:b/>
          <w:color w:val="1F4E79"/>
          <w:sz w:val="22"/>
        </w:rPr>
        <w:t xml:space="preserve">The Grounded Reality (Project Boundaries): </w:t>
      </w:r>
      <w:r>
        <w:rPr>
          <w:rFonts w:ascii="Calibri" w:hAnsi="Calibri"/>
          <w:sz w:val="22"/>
        </w:rPr>
        <w:t>Chapter 1 Scope and Limitations explicitly specifies: 'The system requires an active internet connection on both the mobile application and the web dashboard to communicate with the central Laravel REST API.' Offline synchronization is NOT implemented in the prototype.</w:t>
      </w:r>
    </w:p>
    <w:p>
      <w:pPr>
        <w:pStyle w:val="ListBullet"/>
        <w:spacing w:before="0" w:after="60" w:line="276" w:lineRule="auto"/>
      </w:pPr>
      <w:r>
        <w:rPr>
          <w:rFonts w:ascii="Calibri" w:hAnsi="Calibri"/>
          <w:b/>
          <w:color w:val="1F4E79"/>
          <w:sz w:val="22"/>
        </w:rPr>
        <w:t xml:space="preserve">Crucial Operational Safety Rationale: </w:t>
      </w:r>
      <w:r>
        <w:rPr>
          <w:rFonts w:ascii="Calibri" w:hAnsi="Calibri"/>
          <w:sz w:val="22"/>
        </w:rPr>
        <w:t>In municipal rescue fleet management, immediate visibility is life-critical. If an ambulance or fire truck has failed brakes or a damaged tire, dispatchers must know instantly so the vehicle is marked Out of Service. If inspection reports were stored offline on a phone with delayed sync, dispatchers might dispatch an unsafe vehicle to an emergency, creating a catastrophic safety hazard.</w:t>
      </w:r>
    </w:p>
    <w:p>
      <w:pPr>
        <w:pStyle w:val="ListBullet"/>
        <w:spacing w:before="0" w:after="60" w:line="276" w:lineRule="auto"/>
      </w:pPr>
      <w:r>
        <w:rPr>
          <w:rFonts w:ascii="Calibri" w:hAnsi="Calibri"/>
          <w:b/>
          <w:color w:val="1F4E79"/>
          <w:sz w:val="22"/>
        </w:rPr>
        <w:t xml:space="preserve">Graceful Network Error Handling: </w:t>
      </w:r>
      <w:r>
        <w:rPr>
          <w:rFonts w:ascii="Calibri" w:hAnsi="Calibri"/>
          <w:sz w:val="22"/>
        </w:rPr>
        <w:t>Located at mobile/app/src/main/java/com/example/rvms/data/FetchResult.kt and InspectionRepository.kt. If connectivity is lost, the mobile app stops gracefully and returns FetchResult.Failure with OFFLINE_MESSAGE: 'Unable to connect. Please check your network connection and try again.' The app does not crash or corrupt data.</w:t>
      </w:r>
    </w:p>
    <w:p>
      <w:pPr>
        <w:pStyle w:val="ListBullet"/>
        <w:spacing w:before="0" w:after="60" w:line="276" w:lineRule="auto"/>
      </w:pPr>
      <w:r>
        <w:rPr>
          <w:rFonts w:ascii="Calibri" w:hAnsi="Calibri"/>
          <w:b/>
          <w:color w:val="1F4E79"/>
          <w:sz w:val="22"/>
        </w:rPr>
        <w:t xml:space="preserve">Future Work Roadmap: </w:t>
      </w:r>
      <w:r>
        <w:rPr>
          <w:rFonts w:ascii="Calibri" w:hAnsi="Calibri"/>
          <w:sz w:val="22"/>
        </w:rPr>
        <w:t>Offline local database caching using Android Jetpack Room with SQLite and WorkManager background synchronization is officially documented as recommended future work in Chapter 5.</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1F4E79"/>
              <w:bottom w:val="none"/>
              <w:right w:val="none"/>
            </w:tcBorders>
            <w:shd w:fill="F2F5F9"/>
          </w:tcPr>
          <w:p>
            <w:pPr>
              <w:spacing w:before="80" w:after="40"/>
              <w:ind w:left="216" w:right="216"/>
            </w:pPr>
            <w:r>
              <w:rPr>
                <w:rFonts w:ascii="Calibri" w:hAnsi="Calibri"/>
                <w:b/>
                <w:color w:val="1F4E79"/>
                <w:sz w:val="22"/>
              </w:rPr>
              <w:t>Grounded Defense Script for Q3:</w:t>
              <w:br/>
            </w:r>
            <w:r>
              <w:rPr>
                <w:rFonts w:ascii="Calibri" w:hAnsi="Calibri"/>
                <w:i/>
                <w:color w:val="3C3C3C"/>
                <w:sz w:val="21"/>
              </w:rPr>
              <w:t>“Distinguished members of the panel, as explicitly defined in our Chapter 1 Scope and Limitations, the current RVMS prototype requires an active internet connection to communicate with the centralized Laravel API. This was an intentional operational decision: in emergency rescue logistics, defect visibility must be real-time. If an ambulance suffers brake failure, storing that report offline on the driver's handset introduces the life-threatening risk of dispatching a compromised vehicle.</w:t>
              <w:br/>
              <w:br/>
              <w:t>Technically, our mobile repository handles network drops gracefully using FetchResult.kt, prompting the driver to verify connectivity rather than crashing or showing stale data. Full offline queuing with local Room SQLite storage and background sync is formally designated as our primary Chapter 5 recommendation for future deployment.”</w:t>
            </w:r>
          </w:p>
        </w:tc>
      </w:tr>
    </w:tbl>
    <w:p>
      <w:pPr>
        <w:keepNext/>
        <w:spacing w:before="200" w:after="80"/>
      </w:pPr>
      <w:r>
        <w:rPr>
          <w:rFonts w:ascii="Calibri" w:hAnsi="Calibri"/>
          <w:b/>
          <w:color w:val="3C3C3C"/>
          <w:sz w:val="24"/>
        </w:rPr>
        <w:t>Question 4 (Push Notification Architecture &amp; FCM Delivery Guarantees):</w:t>
      </w:r>
    </w:p>
    <w:p>
      <w:pPr>
        <w:spacing w:before="0" w:after="80" w:line="276" w:lineRule="auto"/>
      </w:pPr>
      <w:r>
        <w:rPr>
          <w:rFonts w:ascii="Calibri" w:hAnsi="Calibri"/>
          <w:i/>
          <w:sz w:val="22"/>
        </w:rPr>
        <w:t>“You stated in Table 1 and Chapter 3 that Firebase Cloud Messaging (FCM) is integrated for mobile alerts. How does FCM work in your system, and what happens if Google FCM drops a push notification or the driver’s phone has Battery Optimization turned on?”</w:t>
      </w:r>
    </w:p>
    <w:p>
      <w:pPr>
        <w:pStyle w:val="ListBullet"/>
        <w:spacing w:before="0" w:after="60" w:line="276" w:lineRule="auto"/>
      </w:pPr>
      <w:r>
        <w:rPr>
          <w:rFonts w:ascii="Calibri" w:hAnsi="Calibri"/>
          <w:b/>
          <w:color w:val="1F4E79"/>
          <w:sz w:val="22"/>
        </w:rPr>
        <w:t xml:space="preserve">Is FCM Implemented?: </w:t>
      </w:r>
      <w:r>
        <w:rPr>
          <w:rFonts w:ascii="Calibri" w:hAnsi="Calibri"/>
          <w:sz w:val="22"/>
        </w:rPr>
        <w:t>Yes, FCM is fully implemented both on the backend and mobile clients.</w:t>
      </w:r>
    </w:p>
    <w:p>
      <w:pPr>
        <w:pStyle w:val="ListBullet"/>
        <w:spacing w:before="0" w:after="60" w:line="276" w:lineRule="auto"/>
      </w:pPr>
      <w:r>
        <w:rPr>
          <w:rFonts w:ascii="Calibri" w:hAnsi="Calibri"/>
          <w:b/>
          <w:color w:val="1F4E79"/>
          <w:sz w:val="22"/>
        </w:rPr>
        <w:t xml:space="preserve">Backend Implementation: </w:t>
      </w:r>
      <w:r>
        <w:rPr>
          <w:rFonts w:ascii="Calibri" w:hAnsi="Calibri"/>
          <w:sz w:val="22"/>
        </w:rPr>
        <w:t>Located at backend/app/Services/Fcm/FcmService.php and HttpV1FcmTransport.php (Google HTTP v1 API). When a fleet event occurs (e.g., dispatch assigned, PM due soon, or vehicle status changed), Laravel triggers SendFcmMessage.php using -&gt;afterResponse() so the API response is never delayed.</w:t>
      </w:r>
    </w:p>
    <w:p>
      <w:pPr>
        <w:pStyle w:val="ListBullet"/>
        <w:spacing w:before="0" w:after="60" w:line="276" w:lineRule="auto"/>
      </w:pPr>
      <w:r>
        <w:rPr>
          <w:rFonts w:ascii="Calibri" w:hAnsi="Calibri"/>
          <w:b/>
          <w:color w:val="1F4E79"/>
          <w:sz w:val="22"/>
        </w:rPr>
        <w:t xml:space="preserve">Mobile Implementation: </w:t>
      </w:r>
      <w:r>
        <w:rPr>
          <w:rFonts w:ascii="Calibri" w:hAnsi="Calibri"/>
          <w:sz w:val="22"/>
        </w:rPr>
        <w:t>Located at mobile/app/src/main/java/com/example/rvms/push/RvmsMessagingService.kt and PushTokenRegistrar.kt. When the app is in the background or foreground, incoming FCM payloads generate heads-up system notifications.</w:t>
      </w:r>
    </w:p>
    <w:p>
      <w:pPr>
        <w:pStyle w:val="ListBullet"/>
        <w:spacing w:before="0" w:after="60" w:line="276" w:lineRule="auto"/>
      </w:pPr>
      <w:r>
        <w:rPr>
          <w:rFonts w:ascii="Calibri" w:hAnsi="Calibri"/>
          <w:b/>
          <w:color w:val="1F4E79"/>
          <w:sz w:val="22"/>
        </w:rPr>
        <w:t xml:space="preserve">Two-Tier Reliability Architecture: </w:t>
      </w:r>
      <w:r>
        <w:rPr>
          <w:rFonts w:ascii="Calibri" w:hAnsi="Calibri"/>
          <w:sz w:val="22"/>
        </w:rPr>
        <w:t>FCM is an alert transport, but MySQL is the persistent source of truth. Every notification is ALWAYS stored first in the MySQL notifications table. If FCM drops a packet or the phone is sleeping, no notification is lost—when the driver opens the app, NotificationRepository retrieves the full unread notifications list directly from GET /api/v1/notifications.</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1F4E79"/>
              <w:bottom w:val="none"/>
              <w:right w:val="none"/>
            </w:tcBorders>
            <w:shd w:fill="F2F5F9"/>
          </w:tcPr>
          <w:p>
            <w:pPr>
              <w:spacing w:before="80" w:after="40"/>
              <w:ind w:left="216" w:right="216"/>
            </w:pPr>
            <w:r>
              <w:rPr>
                <w:rFonts w:ascii="Calibri" w:hAnsi="Calibri"/>
                <w:b/>
                <w:color w:val="1F4E79"/>
                <w:sz w:val="22"/>
              </w:rPr>
              <w:t>Grounded Defense Script for Q4:</w:t>
              <w:br/>
            </w:r>
            <w:r>
              <w:rPr>
                <w:rFonts w:ascii="Calibri" w:hAnsi="Calibri"/>
                <w:i/>
                <w:color w:val="3C3C3C"/>
                <w:sz w:val="21"/>
              </w:rPr>
              <w:t>“Distinguished members of the panel, our notification subsystem employs a resilient two-tier architecture combining database persistence with Google FCM HTTP v1 push delivery (implemented in backend/app/Services/Fcm/FcmService.php and mobile/push/RvmsMessagingService.kt).</w:t>
              <w:br/>
              <w:br/>
              <w:t>When a maintenance or dispatch trigger occurs, the notification is first saved immutably to the MySQL notifications table. Next, an asynchronous FCM job is dispatched via -&gt;afterResponse() to deliver a heads-up alert to the driver's Android handset. Because FCM operates on a best-effort basis, our database ensures zero data loss: if a push is delayed by OS battery optimization or network dropouts, the notification remains intact and is immediately retrieved when the driver accesses the in-app notification center via our REST API.”</w:t>
            </w:r>
          </w:p>
        </w:tc>
      </w:tr>
    </w:tbl>
    <w:p>
      <w:pPr>
        <w:keepNext/>
        <w:spacing w:before="200" w:after="80"/>
      </w:pPr>
      <w:r>
        <w:rPr>
          <w:rFonts w:ascii="Calibri" w:hAnsi="Calibri"/>
          <w:b/>
          <w:color w:val="3C3C3C"/>
          <w:sz w:val="24"/>
        </w:rPr>
        <w:t>Question 5 (Vehicle State Machine &amp; Concurrency Control):</w:t>
      </w:r>
    </w:p>
    <w:p>
      <w:pPr>
        <w:spacing w:before="0" w:after="80" w:line="276" w:lineRule="auto"/>
      </w:pPr>
      <w:r>
        <w:rPr>
          <w:rFonts w:ascii="Calibri" w:hAnsi="Calibri"/>
          <w:i/>
          <w:sz w:val="22"/>
        </w:rPr>
        <w:t>“In your database, vehicles can transition between Available, Dispatched, In Maintenance, and Out of Service. What technical mechanisms prevent two dispatchers from simultaneously dispatching the exact same ambulance to two different emergencies (race condition)?”</w:t>
      </w:r>
    </w:p>
    <w:p>
      <w:pPr>
        <w:pStyle w:val="ListBullet"/>
        <w:spacing w:before="0" w:after="60" w:line="276" w:lineRule="auto"/>
      </w:pPr>
      <w:r>
        <w:rPr>
          <w:rFonts w:ascii="Calibri" w:hAnsi="Calibri"/>
          <w:b/>
          <w:color w:val="1F4E79"/>
          <w:sz w:val="22"/>
        </w:rPr>
        <w:t xml:space="preserve">Centralized State Transition Service: </w:t>
      </w:r>
      <w:r>
        <w:rPr>
          <w:rFonts w:ascii="Calibri" w:hAnsi="Calibri"/>
          <w:sz w:val="22"/>
        </w:rPr>
        <w:t>Vehicle status changes are governed by a centralized service class: backend/app/Services/VehicleStatusWriter.php rather than scattered ad-hoc controller updates.</w:t>
      </w:r>
    </w:p>
    <w:p>
      <w:pPr>
        <w:pStyle w:val="ListBullet"/>
        <w:spacing w:before="0" w:after="60" w:line="276" w:lineRule="auto"/>
      </w:pPr>
      <w:r>
        <w:rPr>
          <w:rFonts w:ascii="Calibri" w:hAnsi="Calibri"/>
          <w:b/>
          <w:color w:val="1F4E79"/>
          <w:sz w:val="22"/>
        </w:rPr>
        <w:t xml:space="preserve">Atomic Database Transactions: </w:t>
      </w:r>
      <w:r>
        <w:rPr>
          <w:rFonts w:ascii="Calibri" w:hAnsi="Calibri"/>
          <w:sz w:val="22"/>
        </w:rPr>
        <w:t>Dispatch creations in backend/app/Http/Controllers/Web/DispatchController.php are wrapped inside DB::transaction().</w:t>
      </w:r>
    </w:p>
    <w:p>
      <w:pPr>
        <w:pStyle w:val="ListBullet"/>
        <w:spacing w:before="0" w:after="60" w:line="276" w:lineRule="auto"/>
      </w:pPr>
      <w:r>
        <w:rPr>
          <w:rFonts w:ascii="Calibri" w:hAnsi="Calibri"/>
          <w:b/>
          <w:color w:val="1F4E79"/>
          <w:sz w:val="22"/>
        </w:rPr>
        <w:t xml:space="preserve">Concurrency Guarding: </w:t>
      </w:r>
      <w:r>
        <w:rPr>
          <w:rFonts w:ascii="Calibri" w:hAnsi="Calibri"/>
          <w:sz w:val="22"/>
        </w:rPr>
        <w:t>Inside the transaction, the controller checks that the vehicle's status is strictly Available. If two dispatchers submit simultaneous dispatches for the same ambulance, the first transaction commits and transitions the vehicle to Dispatched. The second transaction immediately encounters an invalid state, rolls back, and returns an HTTP 422 Unprocessable Entity error: 'This vehicle is currently dispatched and unavailable.'</w:t>
      </w:r>
    </w:p>
    <w:p>
      <w:pPr>
        <w:pStyle w:val="ListBullet"/>
        <w:spacing w:before="0" w:after="60" w:line="276" w:lineRule="auto"/>
      </w:pPr>
      <w:r>
        <w:rPr>
          <w:rFonts w:ascii="Calibri" w:hAnsi="Calibri"/>
          <w:b/>
          <w:color w:val="1F4E79"/>
          <w:sz w:val="22"/>
        </w:rPr>
        <w:t xml:space="preserve">Audit Trail &amp; History: </w:t>
      </w:r>
      <w:r>
        <w:rPr>
          <w:rFonts w:ascii="Calibri" w:hAnsi="Calibri"/>
          <w:sz w:val="22"/>
        </w:rPr>
        <w:t>Every dispatch record stores dispatch_time, return_time, driver_id, and destination in the dispatches table, preventing orphan or conflicting assignments.</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1F4E79"/>
              <w:bottom w:val="none"/>
              <w:right w:val="none"/>
            </w:tcBorders>
            <w:shd w:fill="F2F5F9"/>
          </w:tcPr>
          <w:p>
            <w:pPr>
              <w:spacing w:before="80" w:after="40"/>
              <w:ind w:left="216" w:right="216"/>
            </w:pPr>
            <w:r>
              <w:rPr>
                <w:rFonts w:ascii="Calibri" w:hAnsi="Calibri"/>
                <w:b/>
                <w:color w:val="1F4E79"/>
                <w:sz w:val="22"/>
              </w:rPr>
              <w:t>Grounded Defense Script for Q5:</w:t>
              <w:br/>
            </w:r>
            <w:r>
              <w:rPr>
                <w:rFonts w:ascii="Calibri" w:hAnsi="Calibri"/>
                <w:i/>
                <w:color w:val="3C3C3C"/>
                <w:sz w:val="21"/>
              </w:rPr>
              <w:t>“Distinguished members of the panel, vehicle state transitions are safeguarded against race conditions using ACID-compliant database transactions wrapped inside our centralized VehicleStatusWriter service (backend/app/Services/VehicleStatusWriter.php).</w:t>
              <w:br/>
              <w:br/>
              <w:t>When a dispatch request is processed, the system executes an atomic transaction that verifies the vehicle is strictly 'Available'. If two dispatchers attempt to assign the same unit concurrently, the first commit transitions the vehicle to 'Dispatched', causing the second transaction to fail validation and abort with an informative error message. This guarantees database consistency and eliminates double-booking errors during high-stress emergency operations.”</w:t>
            </w:r>
          </w:p>
        </w:tc>
      </w:tr>
    </w:tbl>
    <w:sectPr w:rsidR="00FC693F" w:rsidRPr="0006063C" w:rsidSect="00034616">
      <w:pgSz w:w="12240" w:h="1872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