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Платформа MyWay</w:t>
      </w:r>
    </w:p>
    <w:p>
      <w:r>
        <w:t>Руководство пользователя: роль ADMIN (администратор организации)</w:t>
      </w:r>
    </w:p>
    <w:p>
      <w:r>
        <w:t>Документ сгенерирован автоматически по состоянию приложения. Точные названия кнопок и пунктов меню могут меняться в обновлениях.</w:t>
      </w:r>
    </w:p>
    <w:p/>
    <w:p>
      <w:pPr>
        <w:pStyle w:val="Heading1"/>
      </w:pPr>
      <w:r>
        <w:t>роль ADMIN (администратор организации)</w:t>
      </w:r>
    </w:p>
    <w:p>
      <w:pPr>
        <w:pStyle w:val="Heading2"/>
      </w:pPr>
      <w:r>
        <w:t>1. Назначение роли</w:t>
      </w:r>
    </w:p>
    <w:p>
      <w:r>
        <w:t>Администратор ведёт операционную работу студии: расписание, пропуска, контент, заявки, биллинг и др.</w:t>
      </w:r>
    </w:p>
    <w:p>
      <w:r>
        <w:t>Права почти совпадают с правами владельца, кроме отдельных исключений ниже.</w:t>
      </w:r>
    </w:p>
    <w:p>
      <w:pPr>
        <w:pStyle w:val="Heading2"/>
      </w:pPr>
      <w:r>
        <w:t>2. Типовые задачи</w:t>
      </w:r>
    </w:p>
    <w:p>
      <w:r>
        <w:t>Ведение расписания и помещений; отмена занятий.</w:t>
      </w:r>
    </w:p>
    <w:p>
      <w:r>
        <w:t>Работа с пропусками и журналом доступа на уровне администратора.</w:t>
      </w:r>
    </w:p>
    <w:p>
      <w:r>
        <w:t>Коммунальный биллинг: счётчики, показания, счета.</w:t>
      </w:r>
    </w:p>
    <w:p>
      <w:r>
        <w:t>Новости и публичный сайт (совместно с политикой организации).</w:t>
      </w:r>
    </w:p>
    <w:p>
      <w:r>
        <w:t>Обработка заявок на вступление преподавателей и учеников.</w:t>
      </w:r>
    </w:p>
    <w:p>
      <w:r>
        <w:t>Приглашение пользователей и смена ролей участников (в рамках возможностей интерфейса; снять роль владельца нельзя).</w:t>
      </w:r>
    </w:p>
    <w:p>
      <w:r>
        <w:t>График администраторов.</w:t>
      </w:r>
    </w:p>
    <w:p>
      <w:r>
        <w:t>Субаренда: счета и операции, доступные роли OWNER и ADMIN.</w:t>
      </w:r>
    </w:p>
    <w:p>
      <w:r>
        <w:t>Экспорт в 1С.</w:t>
      </w:r>
    </w:p>
    <w:p>
      <w:pPr>
        <w:pStyle w:val="Heading2"/>
      </w:pPr>
      <w:r>
        <w:t>3. Финансы</w:t>
      </w:r>
    </w:p>
    <w:p>
      <w:r>
        <w:t>Раздел «Финансы» в меню отображается только если одновременно: включена функция тарифа finance.turnoverReport и владелец организации явно разрешил доступ администраторам к финансовому отчёту (financeReportForAdmin).</w:t>
      </w:r>
    </w:p>
    <w:p>
      <w:r>
        <w:t>При отсутствии разрешения владельца операции финансовых отчётов на backend будут отклонены даже при прямой ссылке.</w:t>
      </w:r>
    </w:p>
    <w:p>
      <w:pPr>
        <w:pStyle w:val="Heading2"/>
      </w:pPr>
      <w:r>
        <w:t>4. Чего администратор сделать не может</w:t>
      </w:r>
    </w:p>
    <w:p>
      <w:r>
        <w:t>Изменить организационный флаг financeReportForAdmin (это только OWNER).</w:t>
      </w:r>
    </w:p>
    <w:p>
      <w:r>
        <w:t>Действовать как SUPER_ADMIN платформы.</w:t>
      </w:r>
    </w:p>
    <w:p>
      <w:pPr>
        <w:pStyle w:val="Heading2"/>
      </w:pPr>
      <w:r>
        <w:t>5. Личный кабинет</w:t>
      </w:r>
    </w:p>
    <w:p>
      <w:r>
        <w:t>«Моё расписание», при необходимости — «График работы (администратор)», «Отметиться по QR».</w:t>
      </w:r>
    </w:p>
    <w:p>
      <w:pPr>
        <w:pStyle w:val="Heading2"/>
      </w:pPr>
      <w:r>
        <w:t>Контакты и поддержка</w:t>
      </w:r>
    </w:p>
    <w:p>
      <w:r>
        <w:t>Технические вопросы по платформе направляйте через форму «Обратная связь» в приложении или по каналам, согласованным с администратором вашей организации.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