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Платформа MyWay</w:t>
      </w:r>
    </w:p>
    <w:p>
      <w:r>
        <w:t>Руководство пользователя: роль SUB_TENANT (субарендатор)</w:t>
      </w:r>
    </w:p>
    <w:p>
      <w:r>
        <w:t>Документ сгенерирован автоматически по состоянию приложения. Точные названия кнопок и пунктов меню могут меняться в обновлениях.</w:t>
      </w:r>
    </w:p>
    <w:p/>
    <w:p>
      <w:pPr>
        <w:pStyle w:val="Heading1"/>
      </w:pPr>
      <w:r>
        <w:t>роль SUB_TENANT (субарендатор)</w:t>
      </w:r>
    </w:p>
    <w:p>
      <w:pPr>
        <w:pStyle w:val="Heading2"/>
      </w:pPr>
      <w:r>
        <w:t>1. Назначение роли</w:t>
      </w:r>
    </w:p>
    <w:p>
      <w:r>
        <w:t>Субарендатор — участник организации, арендующий помещение или слоты по правилам субаренды.</w:t>
      </w:r>
    </w:p>
    <w:p>
      <w:r>
        <w:t>Основная прикладная функция в системе — работа с разделом «Субаренда» (бронирования в доступных вам сценариях).</w:t>
      </w:r>
    </w:p>
    <w:p>
      <w:pPr>
        <w:pStyle w:val="Heading2"/>
      </w:pPr>
      <w:r>
        <w:t>2. Интерфейс и ограничения</w:t>
      </w:r>
    </w:p>
    <w:p>
      <w:r>
        <w:t>Боковое меню может отображать общие пункты студии, но многие действия изменения данных проверяются на сервере по роли.</w:t>
      </w:r>
    </w:p>
    <w:p>
      <w:r>
        <w:t>Создание и изменение занятий в «Расписании», отмена занятий, администрирование пропусков, биллинг, экспорт, заявки, новости и финансовые отчёты относятся к ролям OWNER/ADMIN (и частично INSTRUCTOR для расписания). При попытке выполнить недопустимую операцию интерфейс или API вернёт отказ.</w:t>
      </w:r>
    </w:p>
    <w:p>
      <w:pPr>
        <w:pStyle w:val="Heading2"/>
      </w:pPr>
      <w:r>
        <w:t>3. Субаренда</w:t>
      </w:r>
    </w:p>
    <w:p>
      <w:r>
        <w:t>Создание и сопровождение своих бронирований — в соответствии с настройками организации и правилами API (совместно с OWNER/ADMIN для части операций).</w:t>
      </w:r>
    </w:p>
    <w:p>
      <w:pPr>
        <w:pStyle w:val="Heading2"/>
      </w:pPr>
      <w:r>
        <w:t>4. Личный кабинет</w:t>
      </w:r>
    </w:p>
    <w:p>
      <w:r>
        <w:t>Доступна отметка прохода по QR у станции доступа.</w:t>
      </w:r>
    </w:p>
    <w:p>
      <w:r>
        <w:t>Персональное расписание в ЛК может быть недоступно или пустым — это зависит от того, включены ли вы в занятия как преподаватель или ученик.</w:t>
      </w:r>
    </w:p>
    <w:p>
      <w:pPr>
        <w:pStyle w:val="Heading2"/>
      </w:pPr>
      <w:r>
        <w:t>Контакты и поддержка</w:t>
      </w:r>
    </w:p>
    <w:p>
      <w:r>
        <w:t>Технические вопросы по платформе направляйте через форму «Обратная связь» в приложении или по каналам, согласованным с администратором вашей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