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>高級中等以下學校學生視力保健手冊</w:t>
      </w:r>
    </w:p>
    <w:p>
      <w:pPr>
        <w:pStyle w:val="Heading2"/>
      </w:pPr>
      <w:r>
        <w:rPr>
          <w:b/>
        </w:rPr>
        <w:t>以實證為基礎的視力保健指引與政策建議（政府建言版）</w:t>
      </w:r>
    </w:p>
    <w:p>
      <w:pPr/>
      <w:r>
        <w:t>**臺灣視光視力保健學會**</w:t>
      </w:r>
    </w:p>
    <w:p>
      <w:pPr/>
      <w:r>
        <w:t>**2026 年 2 月（部落格數據同步修訂版）**</w:t>
      </w:r>
    </w:p>
    <w:p>
      <w:pPr/>
      <w:r>
        <w:t>---</w:t>
      </w:r>
    </w:p>
    <w:p>
      <w:pPr>
        <w:pStyle w:val="Heading3"/>
      </w:pPr>
      <w:r>
        <w:rPr>
          <w:b/>
        </w:rPr>
        <w:t>第一章：前言與台灣學童視力現況</w:t>
      </w:r>
    </w:p>
    <w:p>
      <w:pPr>
        <w:pStyle w:val="Heading4"/>
      </w:pPr>
      <w:r>
        <w:rPr>
          <w:b/>
        </w:rPr>
        <w:t>1.1 台灣學生視力變遷分析 (93-113 學年度)</w:t>
      </w:r>
    </w:p>
    <w:p>
      <w:pPr/>
      <w:r>
        <w:t>根據教育部 21 年（民國 93 至 113 學年度）之長期追蹤數據，台灣學童視力不良率呈現顯著的「階梯式惡化」結構性問題。視力不良之本質絕大多數為近視造成的眼軸不正常拉長，此為不可逆的生理改變。</w:t>
      </w:r>
    </w:p>
    <w:p>
      <w:pPr/>
      <w:r>
        <w:t>**1.1.1 關鍵趨勢與歷史指標**</w:t>
      </w:r>
    </w:p>
    <w:p>
      <w:pPr/>
      <w:r>
        <w:t>*   **國小六年級 (P6)**：由 94 學年度 (2005) 之 54.8% 持續攀升，於 100 學年度 (2011) 達到 **65.0%** 之歷史高峰。</w:t>
      </w:r>
    </w:p>
    <w:p>
      <w:pPr/>
      <w:r>
        <w:t>*   **最新現況**：至 113 學年度 (2024)，小六視力不良率微幅回落至 **61.5%**，但相較於 20 年前基準點，惡化形勢依然嚴峻。</w:t>
      </w:r>
    </w:p>
    <w:p>
      <w:pPr/>
      <w:r>
        <w:t>*   **長期警訊**：高中三年級視力不良率穩定維持在 80% 以上，代表我國未來勞動力面臨高度近視引發之視網膜剝離、黃斑部病變等致盲風險。</w:t>
      </w:r>
    </w:p>
    <w:p>
      <w:pPr/>
      <w:r>
        <w:t>**1.1.2 視力惡化的兩個「關鍵失速點」**</w:t>
      </w:r>
    </w:p>
    <w:p>
      <w:pPr/>
      <w:r>
        <w:t>1.  **調節壓力期（國小中年級）**：隨課業量增加，近距離用眼時數暴增。</w:t>
      </w:r>
    </w:p>
    <w:p>
      <w:pPr/>
      <w:r>
        <w:t>2.  **近視加速期（國小升國中）**：生理發育與升學壓力交織，眼軸增長速度最快。</w:t>
      </w:r>
    </w:p>
    <w:p>
      <w:pPr/>
      <w:r>
        <w:t>**1.1.3 影響因素深度分析**</w:t>
      </w:r>
    </w:p>
    <w:p>
      <w:pPr/>
      <w:r>
        <w:t>*   **性別差異**：研究與臨床觀察皆顯示，女性學生之視力不良率普遍高於男性。</w:t>
      </w:r>
    </w:p>
    <w:p>
      <w:pPr/>
      <w:r>
        <w:t>*   **學習環境**：私立學校學生因較長之近距離用眼時數與較少之戶外曝曬，其視力不良率顯著高於公立學校，尤其在國中階段差距最為明顯。</w:t>
      </w:r>
    </w:p>
    <w:p>
      <w:pPr/>
      <w:r>
        <w:t>*   **區域效應**：高度競爭之都會區為視力不良熱區，環境因素是決定孩子視力健康起跑線的關鍵。</w:t>
      </w:r>
    </w:p>
    <w:p>
      <w:pPr>
        <w:pStyle w:val="Heading4"/>
      </w:pPr>
      <w:r>
        <w:rPr>
          <w:b/>
        </w:rPr>
        <w:t>1.2 國家視力保健政策演進</w:t>
      </w:r>
    </w:p>
    <w:p>
      <w:pPr/>
      <w:r>
        <w:t>**1.2.1 政策背景回顧**</w:t>
      </w:r>
    </w:p>
    <w:p>
      <w:pPr/>
      <w:r>
        <w:t>自民國 88 年（1999 年）起，為因應國內學童近視率攀升，教育部與相關衛生單位啟動「加強學生視力保健計畫」，正式將散瞳劑（阿托品）列為國家防治體系之核心干預工具。</w:t>
      </w:r>
    </w:p>
    <w:p>
      <w:pPr/>
      <w:r>
        <w:t>**1.2.2 現行機制之實務檢討**</w:t>
      </w:r>
    </w:p>
    <w:p>
      <w:pPr/>
      <w:r>
        <w:t>過去 25 年之經驗顯示，單一藥物干預在 3C 產品普及環境下，面臨副作用導致的依從性不佳、眼科門診「回條期」量能負荷過重等挑戰，亟需轉型為「醫視合作」之分流照護模式。</w:t>
      </w:r>
    </w:p>
    <w:p>
      <w:pPr/>
      <w:r>
        <w:t>---</w:t>
      </w:r>
    </w:p>
    <w:p>
      <w:pPr>
        <w:pStyle w:val="Heading3"/>
      </w:pPr>
      <w:r>
        <w:rPr>
          <w:b/>
        </w:rPr>
        <w:t>第四章：近視控制之科學介入</w:t>
      </w:r>
    </w:p>
    <w:p>
      <w:pPr>
        <w:pStyle w:val="Heading4"/>
      </w:pPr>
      <w:r>
        <w:rPr>
          <w:b/>
        </w:rPr>
        <w:t>4.1 藥物介入：阿托品 (Atropine)</w:t>
      </w:r>
    </w:p>
    <w:p>
      <w:pPr/>
      <w:r>
        <w:t>**4.1.1 濃度共識與黃金標準**</w:t>
      </w:r>
    </w:p>
    <w:p>
      <w:pPr/>
      <w:r>
        <w:t>目前國際公認 0.05% 阿托品為最佳平衡點，能有效延緩眼軸增長，且其畏光與調節下降之副作用大幅優於傳統高濃度製劑。</w:t>
      </w:r>
    </w:p>
    <w:p>
      <w:pPr/>
      <w:r>
        <w:t>**4.1.2 停藥管理：反彈效應預防**</w:t>
      </w:r>
    </w:p>
    <w:p>
      <w:pPr/>
      <w:r>
        <w:t>阿托品之抑制機制涉及鞏膜重塑。臨床應防範「停藥反彈效應（Rebound Effect）」，即驟然停藥可能引發之代償性眼軸加速增長。建議臨床處置採取「階梯式減量」停藥。</w:t>
      </w:r>
    </w:p>
    <w:p>
      <w:pPr>
        <w:pStyle w:val="Heading4"/>
      </w:pPr>
      <w:r>
        <w:rPr>
          <w:b/>
        </w:rPr>
        <w:t>4.2 光學與行為管理：專業主覺驗光之價值</w:t>
      </w:r>
    </w:p>
    <w:p>
      <w:pPr/>
      <w:r>
        <w:t>**4.2.1 基礎矯正原則**</w:t>
      </w:r>
    </w:p>
    <w:p>
      <w:pPr/>
      <w:r>
        <w:t>本手冊主張「行為管控為根本」。任何光學工具（特殊鏡片、角膜塑型）均應建立在充足戶外活動（每日 1-2 小時）與良好用眼距離之基礎上。</w:t>
      </w:r>
    </w:p>
    <w:p>
      <w:pPr/>
      <w:r>
        <w:t>**4.2.2 堅持專業主覺驗光**</w:t>
      </w:r>
    </w:p>
    <w:p>
      <w:pPr/>
      <w:r>
        <w:t>精準處方絕非僅靠電腦驗光機數據。必須由專業驗光師執行精密之主覺驗光，綜合評估調節靈活度、雙眼協調性及視覺品質，方能提供穩定之近視控制效果。</w:t>
      </w:r>
    </w:p>
    <w:p>
      <w:pPr/>
      <w:r>
        <w:t>**4.2.3 角膜塑型 (Ortho-K) 與周邊離焦鏡片**</w:t>
      </w:r>
    </w:p>
    <w:p>
      <w:pPr/>
      <w:r>
        <w:t>*   **塑型片**：具備 40-60% 控制效能。針對當前驗配權限過度集中之限制，建議建立透明之「醫視聯合照護機制」。</w:t>
      </w:r>
    </w:p>
    <w:p>
      <w:pPr/>
      <w:r>
        <w:t>*   **離焦鏡片**：各品牌設計規範不同（如散瞳需求），驗光人員應依品牌仿單與臨床指引與醫師協作。</w:t>
      </w:r>
    </w:p>
    <w:p>
      <w:pPr/>
      <w:r>
        <w:t>---</w:t>
      </w:r>
    </w:p>
    <w:p>
      <w:pPr>
        <w:pStyle w:val="Heading3"/>
      </w:pPr>
      <w:r>
        <w:rPr>
          <w:b/>
        </w:rPr>
        <w:t>第五章：政策轉型與體系優化建言</w:t>
      </w:r>
    </w:p>
    <w:p>
      <w:pPr>
        <w:pStyle w:val="Heading4"/>
      </w:pPr>
      <w:r>
        <w:rPr>
          <w:b/>
        </w:rPr>
        <w:t>8.4 行政與公衛干預策略</w:t>
      </w:r>
    </w:p>
    <w:p>
      <w:pPr/>
      <w:r>
        <w:t>1.  **監測「年增長率」**：建議將「近視度數年增長率」納入教育與公衛之關鍵績效指標 (KPI)，而非僅看不良率現況，方能精準評估干預成效。</w:t>
      </w:r>
    </w:p>
    <w:p>
      <w:pPr/>
      <w:r>
        <w:t>2.  **落實 6 歲以下檢測品質**：針對 6 歲以下驗光精神，應正視現行診所量能不足導致之「實務執行困境」。推動「醫師親自執行、驗光師分流輔助」之專業合作模式。</w:t>
      </w:r>
    </w:p>
    <w:p>
      <w:pPr/>
      <w:r>
        <w:t>3.  **驗光人員入校篩查**：提升專業驗光人員在校園篩檢中之角色，導入屈光篩查，及早發現「遠視儲備」不足之高風險族群。</w:t>
      </w:r>
    </w:p>
    <w:p>
      <w:pPr/>
      <w:r>
        <w:t>---</w:t>
      </w:r>
    </w:p>
    <w:p>
      <w:pPr>
        <w:pStyle w:val="Heading3"/>
      </w:pPr>
      <w:r>
        <w:rPr>
          <w:b/>
        </w:rPr>
        <w:t>結語：未來視力保健之三位一體策略</w:t>
      </w:r>
    </w:p>
    <w:p>
      <w:pPr/>
      <w:r>
        <w:t>1.  **監測體系化**：建立全台遠視儲備數位監測系統，防治點前移至 3 歲學前健檢。</w:t>
      </w:r>
    </w:p>
    <w:p>
      <w:pPr/>
      <w:r>
        <w:t>2.  **資源分流化**：確立「眼科診治疾患、驗光管理屈光」之專業分工，填補社區與偏鄉醫療真空。</w:t>
      </w:r>
    </w:p>
    <w:p>
      <w:pPr/>
      <w:r>
        <w:t>3.  **環境政策化**：將「下課淨空教室」與「每日戶外 2 小時」由口號建議提升為具行政行政查核力之學校指標。</w:t>
      </w:r>
    </w:p>
    <w:p>
      <w:pPr/>
      <w:r>
        <w:t>---</w:t>
      </w:r>
    </w:p>
    <w:p>
      <w:pPr/>
      <w:r>
        <w:t>**本手冊旨在融合目鏡大叔部落格實證數據與國際視光共識，守護台灣下一代之視力健康。**</w:t>
      </w:r>
    </w:p>
  </w:body>
</w:document>
</file>