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送愛到學校-學童視力篩檢與矯正服務之離島跨領域合作模式</w:t>
      </w:r>
    </w:p>
    <w:p>
      <w:pPr>
        <w:pStyle w:val="Heading1"/>
      </w:pPr>
      <w:r>
        <w:rPr>
          <w:b/>
        </w:rPr>
        <w:t>1. 前言 — 張麗春 教授</w:t>
      </w:r>
    </w:p>
    <w:p>
      <w:r>
        <w:t>（請教授補充內容）</w:t>
      </w:r>
    </w:p>
    <w:p>
      <w:pPr>
        <w:pStyle w:val="Heading1"/>
      </w:pPr>
      <w:r>
        <w:rPr>
          <w:b/>
        </w:rPr>
        <w:t>2. 文獻查證</w:t>
      </w:r>
    </w:p>
    <w:p>
      <w:pPr>
        <w:pStyle w:val="Heading1"/>
      </w:pPr>
      <w:r>
        <w:rPr>
          <w:b/>
        </w:rPr>
        <w:t>2.1 學童視力保健現況 — 臺灣視光視力保健學會 執筆</w:t>
      </w:r>
    </w:p>
    <w:p>
      <w:pPr>
        <w:pStyle w:val="Heading1"/>
      </w:pPr>
      <w:r>
        <w:rPr>
          <w:b/>
        </w:rPr>
        <w:t>2.1.1 全國視力惡化趨勢與結構性數據</w:t>
      </w:r>
    </w:p>
    <w:p>
      <w:r>
        <w:t>根據教育部 112 學年度最新統計數據，我國學童視力不良率隨教育階段呈現結構性攀升，且惡化態勢並未因現行政策而顯著逆轉：</w:t>
      </w:r>
    </w:p>
    <w:p>
      <w:r>
        <w:t>*   **各階段數據指標**：國小一年級（26.69%）、國小六年級（62.99%）、國中三年級（72.41%）、高中三年級（81.61%）。</w:t>
      </w:r>
    </w:p>
    <w:p>
      <w:r>
        <w:t>*   **惡化失速點**：實證顯示，防治工作應聚焦於兩個關鍵失速點：**國小中年級「調節壓力期」**（課業與近距離用眼劇增）與**國一「近視加速期」**（生理發育與升學壓力交織）。</w:t>
      </w:r>
    </w:p>
    <w:p>
      <w:r>
        <w:t>*   **歷史數據警訊**：國小六年級視力不良率由 2005 年之 54.8% 持續攀升，於 2011 年達到 65.0% 之歷史高峰，至 2024 年仍維持在 61% 以上，顯示過往單一化之防治策略仍有大幅優化空間。</w:t>
      </w:r>
    </w:p>
    <w:p>
      <w:pPr>
        <w:pStyle w:val="Heading1"/>
      </w:pPr>
      <w:r>
        <w:rPr>
          <w:b/>
        </w:rPr>
        <w:t>2.1.2 離島地區：資源稀缺下的公衛挑戰</w:t>
      </w:r>
    </w:p>
    <w:p>
      <w:r>
        <w:t>*   **連江縣數據現況**：113 學年度連江縣國小裸視不良率為 **45.68%**，已略高於全國平均；國中端則高達 **71.21%**。這證明離島學童面臨之視力壓力與本島都會區無異。</w:t>
      </w:r>
    </w:p>
    <w:p>
      <w:r>
        <w:t>*   **離島中的離島**：在東引、莒光等「離島中的離島」，基礎視力篩檢已成為極度稀缺的專業服務。學童視覺健康面臨「城鄉不平等」的嚴峻考驗。</w:t>
      </w:r>
    </w:p>
    <w:p>
      <w:pPr>
        <w:pStyle w:val="Heading1"/>
      </w:pPr>
      <w:r>
        <w:rPr>
          <w:b/>
        </w:rPr>
        <w:t>2.2 學童視力治療與矯正 — 臺灣視光視力保健學會 執筆</w:t>
      </w:r>
    </w:p>
    <w:p>
      <w:pPr>
        <w:pStyle w:val="Heading1"/>
      </w:pPr>
      <w:r>
        <w:rPr>
          <w:b/>
        </w:rPr>
        <w:t>2.2.1 矯正黃金前提：遠方視力「足度全矯正」</w:t>
      </w:r>
    </w:p>
    <w:p>
      <w:r>
        <w:t>本會基於國際近視研究學會 (IMI) 指引與 ATOM/LAMP 等大型臨床研究，確立近視管理之核心架構：</w:t>
      </w:r>
    </w:p>
    <w:p>
      <w:r>
        <w:t>*   **消除模糊影像 (Defocus Control)**：散瞳劑（阿托品）之療效，必須建立在「遠方視力足度全矯正 (Full Correction)」的基礎上。</w:t>
      </w:r>
    </w:p>
    <w:p>
      <w:r>
        <w:t>*   **科學實證**：未足度矯正（欠矯正）導致之模糊影像會誘發化學訊號刺激眼球眼軸增長，直接抵消藥物抑制效果。凡近視者，點藥前必須確保光學矯正之精準度。</w:t>
      </w:r>
    </w:p>
    <w:p>
      <w:pPr>
        <w:pStyle w:val="Heading1"/>
      </w:pPr>
      <w:r>
        <w:rPr>
          <w:b/>
        </w:rPr>
        <w:t>2.2.2 藥物介入之臨床風險管理</w:t>
      </w:r>
    </w:p>
    <w:p>
      <w:r>
        <w:t>*   **0.05% 阿托品黃金標準**：為目前國際公認兼顧眼軸控制效果與低副作用（畏光、調節下降）之「黃金標準」。相較於 0.01% 在不同研究中的不穩定性，0.05% 是目前實證最優之起始濃度。</w:t>
      </w:r>
    </w:p>
    <w:p>
      <w:r>
        <w:t>*   **停藥反彈（Rebound Effect）預防**：針對長期點藥學童，臨床處置務必採取「階梯式減量」停藥，防止鞏膜重塑引發之代償性眼軸增長。</w:t>
      </w:r>
    </w:p>
    <w:p>
      <w:pPr>
        <w:pStyle w:val="Heading1"/>
      </w:pPr>
      <w:r>
        <w:rPr>
          <w:b/>
        </w:rPr>
        <w:t>2.2.3 光學介入與階梯式處置原則</w:t>
      </w:r>
    </w:p>
    <w:p>
      <w:r>
        <w:t>針對已近視學童，應採行「先行為環境、後光學介入、再藥物升級」之階梯式策略：</w:t>
      </w:r>
    </w:p>
    <w:p>
      <w:r>
        <w:t>*   **單焦點鏡片與基礎矯正**：對於初次發現近視或度數穩定者，足度矯正之單焦點鏡片仍為第一線標準配備。應建立「3 個月密集追蹤期」，若度數增加超過 50 度，則需果斷升級控制方案。</w:t>
      </w:r>
    </w:p>
    <w:p>
      <w:r>
        <w:t>*   **角膜塑型 (Ortho-K)**：透過夜間配戴暫時改變角膜弧度，產生周邊離焦效果，研究顯示可減少約 40-60% 之眼軸增長。</w:t>
      </w:r>
    </w:p>
    <w:p>
      <w:r>
        <w:t>*   **周邊離焦眼鏡 (DIMS/HAL)**：適合無法配戴隱形眼鏡之學童，透過鏡片周邊產生近視性離焦，減緩眼軸增長訊號。</w:t>
      </w:r>
    </w:p>
    <w:p>
      <w:r>
        <w:t>*   **合併治療**：針對快速進展者，考慮「阿托品 + 光學介入」之多重介入模式，以期達到最佳控制效果。</w:t>
      </w:r>
    </w:p>
    <w:p>
      <w:pPr>
        <w:pStyle w:val="Heading1"/>
      </w:pPr>
      <w:r>
        <w:rPr>
          <w:b/>
        </w:rPr>
        <w:t>2.2.4 雙眼視機能之監測與警語</w:t>
      </w:r>
    </w:p>
    <w:p>
      <w:r>
        <w:t>長期使用散瞳劑可能影響「近見三連動」（調節、輻輳、瞳孔收縮）機制。臨床上應定期評估 AC/A ratio、調節靈活度與融像範圍，必要時由驗光師執行雙眼視功能訓練或調整處方，以確保視覺品質與適應性。</w:t>
      </w:r>
    </w:p>
    <w:p>
      <w:pPr>
        <w:pStyle w:val="Heading1"/>
      </w:pPr>
      <w:r>
        <w:rPr>
          <w:b/>
        </w:rPr>
        <w:t>2.3 視力保健健康不平等 — 張麗春 教授</w:t>
      </w:r>
    </w:p>
    <w:p>
      <w:r>
        <w:t>（請教授補充內容）</w:t>
      </w:r>
    </w:p>
    <w:p>
      <w:r>
        <w:t>---</w:t>
      </w:r>
    </w:p>
    <w:p>
      <w:pPr>
        <w:pStyle w:val="Heading1"/>
      </w:pPr>
      <w:r>
        <w:rPr>
          <w:b/>
        </w:rPr>
        <w:t>3. 學童視力篩檢與矯正服務之離島跨領域合作模式</w:t>
      </w:r>
    </w:p>
    <w:p>
      <w:pPr>
        <w:pStyle w:val="Heading1"/>
      </w:pPr>
      <w:r>
        <w:rPr>
          <w:b/>
        </w:rPr>
        <w:t>3.1 偏鄉兒童視力保健問題 — 張麗春 教授</w:t>
      </w:r>
    </w:p>
    <w:p>
      <w:r>
        <w:t>（請教授補充內容）</w:t>
      </w:r>
    </w:p>
    <w:p>
      <w:pPr>
        <w:pStyle w:val="Heading1"/>
      </w:pPr>
      <w:r>
        <w:rPr>
          <w:b/>
        </w:rPr>
        <w:t>3.2 跨領域服務模式 — 臺灣視光視力保健學會 執筆</w:t>
      </w:r>
    </w:p>
    <w:p>
      <w:pPr>
        <w:pStyle w:val="Heading1"/>
      </w:pPr>
      <w:r>
        <w:rPr>
          <w:b/>
        </w:rPr>
        <w:t>3.2.1 法規斷崖預警：連江縣「零驗光所」現狀</w:t>
      </w:r>
    </w:p>
    <w:p>
      <w:r>
        <w:t>*   **115 年落日條款**：隨《驗光人員法》落日條款於民國 115 年到期，無證照眼鏡行將無法合法從事驗光業務。若無專業制度銜接，離島學童將面臨合法屈光資源完全斷絕之窘境。</w:t>
      </w:r>
    </w:p>
    <w:p>
      <w:pPr>
        <w:pStyle w:val="Heading1"/>
      </w:pPr>
      <w:r>
        <w:rPr>
          <w:b/>
        </w:rPr>
        <w:t>3.2.2 跨領域協作模式 (離島 SOP)</w:t>
      </w:r>
    </w:p>
    <w:p>
      <w:r>
        <w:t>本會連續 12 年推動之合作模型，已成為可複製之標竿：</w:t>
      </w:r>
    </w:p>
    <w:p>
      <w:r>
        <w:t>1.  **醫療端（地方衛生局/所）**：提供行政對接、場地支援，並進行病理診斷轉銜。</w:t>
      </w:r>
    </w:p>
    <w:p>
      <w:r>
        <w:t>2.  **教育端（離島各中小學）**：由護理師執行初步篩檢、數據彙整。</w:t>
      </w:r>
    </w:p>
    <w:p>
      <w:r>
        <w:t>3.  **專業端（視光學會團隊）**：派遣專業驗光師團攜帶精密設備，執行「主覺驗光」與「光學矯正管理」，填補偏鄉視覺照護真空。</w:t>
      </w:r>
    </w:p>
    <w:p>
      <w:pPr>
        <w:pStyle w:val="Heading1"/>
      </w:pPr>
      <w:r>
        <w:rPr>
          <w:b/>
        </w:rPr>
        <w:t>3.3 服務成效 — 臺灣視光視力保健學會 執筆</w:t>
      </w:r>
    </w:p>
    <w:p>
      <w:pPr>
        <w:pStyle w:val="Heading1"/>
      </w:pPr>
      <w:r>
        <w:rPr>
          <w:b/>
        </w:rPr>
        <w:t>3.3.1 質化成效：守護受教權與視覺正義</w:t>
      </w:r>
    </w:p>
    <w:p>
      <w:r>
        <w:t>透過專業驗光師的精準矯正，避免因地理障礙導致之矯正延誤，實質保障了偏鄉學童的學習競爭力。</w:t>
      </w:r>
    </w:p>
    <w:p>
      <w:pPr>
        <w:pStyle w:val="Heading1"/>
      </w:pPr>
      <w:r>
        <w:rPr>
          <w:b/>
        </w:rPr>
        <w:t>3.3.2 專業傳承奇蹟：偏鄉醫療自立之實證</w:t>
      </w:r>
    </w:p>
    <w:p>
      <w:r>
        <w:t>*   **案例記錄**：一位居住於西莒、從小接受本會篩檢服務的學童，深受視光專業服務精神影響，考取元培醫事科技大學視光系。</w:t>
      </w:r>
    </w:p>
    <w:p>
      <w:r>
        <w:t>*   **成效巔峰**：該學童於**去年正式考取「國家驗光師執照」**，從昔日的「受助者」成長為今日的「守護者」。</w:t>
      </w:r>
    </w:p>
    <w:p>
      <w:r>
        <w:t>---</w:t>
      </w:r>
    </w:p>
    <w:p>
      <w:pPr>
        <w:pStyle w:val="Heading1"/>
      </w:pPr>
      <w:r>
        <w:rPr>
          <w:b/>
        </w:rPr>
        <w:t>4. 建議</w:t>
      </w:r>
    </w:p>
    <w:p>
      <w:r>
        <w:t>（待補充）</w:t>
      </w:r>
    </w:p>
    <w:p>
      <w:pPr>
        <w:pStyle w:val="Heading1"/>
      </w:pPr>
      <w:r>
        <w:rPr>
          <w:b/>
        </w:rPr>
        <w:t>5. 結論</w:t>
      </w:r>
    </w:p>
    <w:p>
      <w:r>
        <w:t>（待補充）</w:t>
      </w:r>
    </w:p>
    <w:p>
      <w:pPr>
        <w:pStyle w:val="Heading1"/>
      </w:pPr>
      <w:r>
        <w:rPr>
          <w:b/>
        </w:rPr>
        <w:t>6. 參考文獻</w:t>
      </w:r>
    </w:p>
    <w:p>
      <w:r>
        <w:t>（待補充）</w:t>
      </w:r>
    </w:p>
    <w:p>
      <w:r>
        <w:t>---</w:t>
      </w:r>
    </w:p>
    <w:p>
      <w:r>
        <w:t>**臺灣視光視力保健學會 常務理事 李錫彥 彙讓編撰**</w:t>
      </w:r>
    </w:p>
  </w:body>
</w:document>
</file>