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8"/>
          <w:szCs w:val="48"/>
        </w:rPr>
        <w:t>送愛到學校-學童視力篩檢與矯正服務之離島跨領域合作模式</w:t>
      </w:r>
    </w:p>
    <w:p>
      <w:pPr>
        <w:pStyle w:val="Heading1"/>
      </w:pPr>
      <w:r>
        <w:t>1. 前言 — 張麗春 教授</w:t>
      </w:r>
    </w:p>
    <w:p>
      <w:pPr>
        <w:shd w:val="clear" w:color="auto" w:fill="F2F2F2"/>
      </w:pPr>
      <w:r>
        <w:rPr>
          <w:color w:val="D9534F"/>
          <w:i/>
        </w:rPr>
        <w:t>（請教授補充內容）</w:t>
      </w:r>
    </w:p>
    <w:p>
      <w:pPr>
        <w:pStyle w:val="Heading1"/>
      </w:pPr>
      <w:r>
        <w:t>2. 文獻查證</w:t>
      </w:r>
    </w:p>
    <w:p>
      <w:pPr>
        <w:pStyle w:val="Heading2"/>
      </w:pPr>
      <w:r>
        <w:t>2.1 學童視力保健現況 — 臺灣視光視力保健學會 執筆</w:t>
      </w:r>
    </w:p>
    <w:p>
      <w:pPr>
        <w:pStyle w:val="Heading3"/>
      </w:pPr>
      <w:r>
        <w:t>2.1.1 全國視力惡化趨勢之結構性剖析</w:t>
      </w:r>
    </w:p>
    <w:p>
      <w:r>
        <w:t>根據教育部 2005 年至 2024 年之長周期數據顯示，我國學童視力健康呈現結構性惡化。儘管各類防治政策推行多年，但整體視力不良率仍維持高位。</w:t>
      </w:r>
    </w:p>
    <w:p>
      <w:pPr>
        <w:ind w:left="420" w:hanging="420"/>
      </w:pPr>
      <w:r>
        <w:t>• 112 學年度數據：小一 26.69%、小六 62.99%、國三 72.41%、高三 81.61%。</w:t>
      </w:r>
    </w:p>
    <w:p>
      <w:pPr>
        <w:ind w:left="420" w:hanging="420"/>
      </w:pPr>
      <w:r>
        <w:t>• 歷史高峰：小六不良率曾於 2011 年達到 65.0% 之歷史巔峰。</w:t>
      </w:r>
    </w:p>
    <w:p>
      <w:pPr>
        <w:ind w:left="420" w:hanging="420"/>
      </w:pPr>
      <w:r>
        <w:t>• 高度近視危機：高中三年級學生中，超過 35% 已達高度近視（&gt;500度），這將引發終生的視網膜剝離與黃斑部病變風險。</w:t>
      </w:r>
    </w:p>
    <w:p>
      <w:r>
        <w:t>防治工作必須聚焦於「雙高峰失速點」：國小中年級的調節壓力期，以及國一的生理與升學壓力加速期。</w:t>
      </w:r>
    </w:p>
    <w:p>
      <w:pPr>
        <w:pStyle w:val="Heading3"/>
      </w:pPr>
      <w:r>
        <w:t>2.1.2 離島地區：公衛資源不平等的實證</w:t>
      </w:r>
    </w:p>
    <w:p>
      <w:r>
        <w:t>連江縣 113 學年度國中端視力不良率達 71.21%，與本島都會區無異。但在醫療資源可近性上，離島學童面臨嚴峻挑戰，基礎篩檢與精確屈光測量成為奢侈。</w:t>
      </w:r>
    </w:p>
    <w:p>
      <w:pPr>
        <w:pStyle w:val="Heading2"/>
      </w:pPr>
      <w:r>
        <w:t>2.2 學童視力治療與矯正 — 臺灣視光視力保健學會 執筆</w:t>
      </w:r>
    </w:p>
    <w:p>
      <w:pPr>
        <w:pStyle w:val="Heading3"/>
      </w:pPr>
      <w:r>
        <w:t>2.2.1 矯正核心原則：遠方視力「足度全矯正」</w:t>
      </w:r>
    </w:p>
    <w:p>
      <w:r>
        <w:t>本會嚴正強調，近視管理不應跳過「基礎矯正」。基於國際 IMI 指引與 LAMP 研究，散瞳劑（阿托品）療效必須建立在「足度全矯正 (Full Correction)」基礎上。</w:t>
      </w:r>
    </w:p>
    <w:p>
      <w:pPr>
        <w:ind w:left="720" w:right="720"/>
        <w:shd w:val="clear" w:color="auto" w:fill="F9F9F9"/>
      </w:pPr>
      <w:r>
        <w:rPr>
          <w:i/>
          <w:color w:val="666666"/>
        </w:rPr>
        <w:t>未足度矯正（欠矯正）導致之模糊影像（Blur）會誘發化學訊號刺激眼軸增長，直接抵消藥物抑制效果。凡近視者，點藥前必須確保光學矯正之精準度。</w:t>
      </w:r>
    </w:p>
    <w:p>
      <w:pPr>
        <w:pStyle w:val="Heading3"/>
      </w:pPr>
      <w:r>
        <w:t>2.2.2 藥物介入：0.05% 阿托品之「黃金平衡點」</w:t>
      </w:r>
    </w:p>
    <w:p>
      <w:r>
        <w:t>研究顯示 0.05% 阿托品在控制眼軸增長上效果顯著且副作用極低，為目前國際公認之黃金標準。停藥時必須採「階梯式減量」，預防反彈效應。</w:t>
      </w:r>
    </w:p>
    <w:p>
      <w:pPr>
        <w:pStyle w:val="Heading3"/>
      </w:pPr>
      <w:r>
        <w:t>2.2.3 階梯式處置原則：錢要花在刀口上</w:t>
      </w:r>
    </w:p>
    <w:p>
      <w:r>
        <w:t>本會主張不應一開始就推銷高價控制方案。應依序處置：</w:t>
      </w:r>
    </w:p>
    <w:p>
      <w:pPr>
        <w:ind w:left="420" w:hanging="420"/>
      </w:pPr>
      <w:r>
        <w:t>• 第一階：行為改善與單焦點鏡片 (SVL)。設定「3個月黃金追蹤期」，若度數增加 &lt;25度則繼續維持，省錢又有效。</w:t>
      </w:r>
    </w:p>
    <w:p>
      <w:pPr>
        <w:ind w:left="420" w:hanging="420"/>
      </w:pPr>
      <w:r>
        <w:t>• 第二階：若 3 個月追蹤顯示快速進展（&gt;50度），則升級至光學控制方案。</w:t>
      </w:r>
    </w:p>
    <w:p>
      <w:pPr>
        <w:ind w:left="420" w:hanging="420"/>
      </w:pPr>
      <w:r>
        <w:t>• 光學選項：角膜塑型 (Ortho-K) 效果約 40-60%；周邊離焦眼鏡 (DIMS/HAL) 適合不願戴隱形眼鏡者，效果約 50-60%。</w:t>
      </w:r>
    </w:p>
    <w:p>
      <w:pPr>
        <w:pStyle w:val="Heading3"/>
      </w:pPr>
      <w:r>
        <w:t>2.2.4 遠視儲備監測：安全氣囊理論</w:t>
      </w:r>
    </w:p>
    <w:p>
      <w:r>
        <w:t>遠視儲備是「安全氣囊」，適量即可（6歲時約 +1.00D），過高則有調節性內斜視與弱視風險。監控重點在於「消耗速度」而非「存量」。</w:t>
      </w:r>
    </w:p>
    <w:p>
      <w:pPr>
        <w:pStyle w:val="Heading3"/>
      </w:pPr>
      <w:r>
        <w:t>2.2.5 雙眼視機能監測警語</w:t>
      </w:r>
    </w:p>
    <w:p>
      <w:r>
        <w:t>長期使用散瞳劑會抑制調節與瞳孔收縮，可能影響 AC/A ratio，導致雙眼視覺協調問題。臨床應定期監測調節幅度、調節靈活度與融像範圍。</w:t>
      </w:r>
    </w:p>
    <w:p>
      <w:pPr>
        <w:pStyle w:val="Heading1"/>
      </w:pPr>
      <w:r>
        <w:t>2.3 視力保健健康不平等 — 張麗春 教授</w:t>
      </w:r>
    </w:p>
    <w:p>
      <w:pPr>
        <w:shd w:val="clear" w:color="auto" w:fill="F2F2F2"/>
      </w:pPr>
      <w:r>
        <w:rPr>
          <w:color w:val="D9534F"/>
          <w:i/>
        </w:rPr>
        <w:t>（請教授補充內容）</w:t>
      </w:r>
    </w:p>
    <w:p>
      <w:pPr>
        <w:pStyle w:val="Heading1"/>
      </w:pPr>
      <w:r>
        <w:t>3. 學童視力篩檢與矯正服務之離島跨領域合作模式</w:t>
      </w:r>
    </w:p>
    <w:p>
      <w:pPr>
        <w:pStyle w:val="Heading2"/>
      </w:pPr>
      <w:r>
        <w:t>3.1 偏鄉兒童視力保健問題 — 張麗春 教授</w:t>
      </w:r>
    </w:p>
    <w:p>
      <w:pPr>
        <w:shd w:val="clear" w:color="auto" w:fill="F2F2F2"/>
      </w:pPr>
      <w:r>
        <w:rPr>
          <w:color w:val="D9534F"/>
          <w:i/>
        </w:rPr>
        <w:t>（請教授補充內容）</w:t>
      </w:r>
    </w:p>
    <w:p>
      <w:pPr>
        <w:pStyle w:val="Heading2"/>
      </w:pPr>
      <w:r>
        <w:t>3.2 跨領域服務模式 — 臺灣視光視力保健學會 執筆</w:t>
      </w:r>
    </w:p>
    <w:p>
      <w:pPr>
        <w:pStyle w:val="Heading3"/>
      </w:pPr>
      <w:r>
        <w:t>3.2.1 法規與人力的結構性困境</w:t>
      </w:r>
    </w:p>
    <w:p>
      <w:r>
        <w:t>「法規最嚴、現場最鬆」的矛盾：驗光人員法禁止驗光師對 6 歲以下驗光，但眼科現場卻常由無證照人員操作。</w:t>
      </w:r>
    </w:p>
    <w:p>
      <w:pPr>
        <w:ind w:left="720" w:right="720"/>
        <w:shd w:val="clear" w:color="auto" w:fill="F9F9F9"/>
      </w:pPr>
      <w:r>
        <w:rPr>
          <w:i/>
          <w:color w:val="666666"/>
        </w:rPr>
        <w:t>既然法規認為 6 歲以下驗光具高專業性與風險，連驗光師都不能碰，那就只能由眼科醫師「親自操作」，而非交由助理代勞。</w:t>
      </w:r>
    </w:p>
    <w:p>
      <w:pPr>
        <w:pStyle w:val="Heading3"/>
      </w:pPr>
      <w:r>
        <w:t>3.2.2 115 年落日條款之法規斷崖</w:t>
      </w:r>
    </w:p>
    <w:p>
      <w:r>
        <w:t>連江縣目前無合法驗光所。隨法規落日，若無專業體系銜接，離島屈光資源將面臨斷絕。</w:t>
      </w:r>
    </w:p>
    <w:p>
      <w:pPr>
        <w:pStyle w:val="Heading3"/>
      </w:pPr>
      <w:r>
        <w:t>3.2.3 驗光師的角色：不搶回條，搶的是信任</w:t>
      </w:r>
    </w:p>
    <w:p>
      <w:r>
        <w:t>驗光師的價值在於填補眼科無暇顧及的「衛教真空帶」。</w:t>
      </w:r>
    </w:p>
    <w:p>
      <w:pPr>
        <w:ind w:left="720" w:right="720"/>
        <w:shd w:val="clear" w:color="auto" w:fill="F9F9F9"/>
      </w:pPr>
      <w:r>
        <w:rPr>
          <w:i/>
          <w:color w:val="666666"/>
        </w:rPr>
        <w:t>「我們不搶那張回條，那種 3 分鐘快速蓋章的工作交給現行體系。我們提供的是 45 分鐘的深度視機能分析與衛教諮詢。」</w:t>
      </w:r>
    </w:p>
    <w:p>
      <w:pPr>
        <w:pStyle w:val="Heading2"/>
      </w:pPr>
      <w:r>
        <w:t>3.3 服務成效 — 臺灣視光視力保健學會 執筆</w:t>
      </w:r>
    </w:p>
    <w:p>
      <w:pPr>
        <w:pStyle w:val="Heading3"/>
      </w:pPr>
      <w:r>
        <w:t>3.3.1 專業傳承奇蹟：西莒學童的真實故事</w:t>
      </w:r>
    </w:p>
    <w:p>
      <w:r>
        <w:t>一位居住於西莒的學童，從小接受大叔團隊的篩檢服務，受專業精神影響考取視光系，並於去年考取「國家驗光師執照」。</w:t>
      </w:r>
    </w:p>
    <w:p>
      <w:pPr>
        <w:ind w:left="720" w:right="720"/>
        <w:shd w:val="clear" w:color="auto" w:fill="F9F9F9"/>
      </w:pPr>
      <w:r>
        <w:rPr>
          <w:i/>
          <w:color w:val="666666"/>
        </w:rPr>
        <w:t>這是 12 年離島服務最好的見證：讓昔日的受助者，成為今日的守護者。</w:t>
      </w:r>
    </w:p>
    <w:p>
      <w:pPr>
        <w:pStyle w:val="Heading1"/>
      </w:pPr>
      <w:r>
        <w:t>4. 建議</w:t>
      </w:r>
    </w:p>
    <w:p>
      <w:pPr>
        <w:shd w:val="clear" w:color="auto" w:fill="F2F2F2"/>
      </w:pPr>
      <w:r>
        <w:rPr>
          <w:color w:val="D9534F"/>
          <w:i/>
        </w:rPr>
        <w:t>（待補充）</w:t>
      </w:r>
    </w:p>
    <w:p>
      <w:pPr>
        <w:pStyle w:val="Heading1"/>
      </w:pPr>
      <w:r>
        <w:t>5. 結論</w:t>
      </w:r>
    </w:p>
    <w:p>
      <w:pPr>
        <w:shd w:val="clear" w:color="auto" w:fill="F2F2F2"/>
      </w:pPr>
      <w:r>
        <w:rPr>
          <w:color w:val="D9534F"/>
          <w:i/>
        </w:rPr>
        <w:t>（待補充）</w:t>
      </w:r>
    </w:p>
    <w:p>
      <w:pPr>
        <w:pStyle w:val="Heading1"/>
      </w:pPr>
      <w:r>
        <w:t>6. 參考文獻</w:t>
      </w:r>
    </w:p>
    <w:p>
      <w:pPr>
        <w:shd w:val="clear" w:color="auto" w:fill="F2F2F2"/>
      </w:pPr>
      <w:r>
        <w:rPr>
          <w:color w:val="D9534F"/>
          <w:i/>
        </w:rPr>
        <w:t>（待補充）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hint="eastAsia" w:ascii="Times New Roman" w:eastAsia="新細明體"/>
      </w:rPr>
    </w:rPrDefault>
  </w:docDefaults>
  <w:style w:type="paragraph" w:styleId="Heading1">
    <w:name w:val="heading 1"/>
    <w:rPr>
      <w:b/>
      <w:sz w:val="36"/>
      <w:szCs w:val="36"/>
      <w:color w:val="1A4A7C"/>
    </w:rPr>
  </w:style>
  <w:style w:type="paragraph" w:styleId="Heading2">
    <w:name w:val="heading 2"/>
    <w:rPr>
      <w:b/>
      <w:sz w:val="32"/>
      <w:szCs w:val="32"/>
      <w:color w:val="2E6DA4"/>
    </w:rPr>
  </w:style>
  <w:style w:type="paragraph" w:styleId="Heading3">
    <w:name w:val="heading 3"/>
    <w:rPr>
      <w:b/>
      <w:sz w:val="28"/>
      <w:szCs w:val="28"/>
      <w:color w:val="444444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