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</w:rPr>
        <w:t>送愛到學校-學童視力篩檢與矯正服務之離島跨領域合作模式</w:t>
      </w:r>
    </w:p>
    <w:p>
      <w:pPr>
        <w:pStyle w:val="Heading1"/>
        <w:spacing w:before="240" w:after="120"/>
      </w:pPr>
      <w:r>
        <w:t>1. 前言 — 張麗春 教授</w:t>
      </w:r>
    </w:p>
    <w:p>
      <w:pPr>
        <w:shd w:val="clear" w:color="auto" w:fill="F2F2F2"/>
        <w:spacing w:before="60" w:after="60"/>
      </w:pPr>
      <w:r>
        <w:rPr>
          <w:color w:val="D9534F"/>
          <w:i/>
        </w:rPr>
        <w:t>（請教授補充內容）</w:t>
      </w:r>
    </w:p>
    <w:p>
      <w:pPr>
        <w:pStyle w:val="Heading1"/>
        <w:spacing w:before="240" w:after="120"/>
      </w:pPr>
      <w:r>
        <w:t>2. 文獻查證</w:t>
      </w:r>
    </w:p>
    <w:p>
      <w:pPr>
        <w:pStyle w:val="Heading2"/>
        <w:spacing w:before="180" w:after="90"/>
      </w:pPr>
      <w:r>
        <w:t>2.1 學童視力保健現況 — 臺灣視光視力保健學會 執筆</w:t>
      </w:r>
    </w:p>
    <w:p>
      <w:pPr>
        <w:pStyle w:val="Heading3"/>
      </w:pPr>
      <w:r>
        <w:t>2.1.1 全國視力惡化趨勢與結構性剖析</w:t>
      </w:r>
    </w:p>
    <w:p>
      <w:r>
        <w:t>教育部 2005-2024 長期數據揭示我國學童視力健康結構性惡化：</w:t>
      </w:r>
    </w:p>
    <w:p>
      <w:pPr>
        <w:ind w:left="420" w:hanging="420"/>
      </w:pPr>
      <w:r>
        <w:t>• 112學年指標：小一 26.69%、小六 62.99%、國三 72.41%、高三 81.61%。</w:t>
      </w:r>
    </w:p>
    <w:p>
      <w:pPr>
        <w:ind w:left="420" w:hanging="420"/>
      </w:pPr>
      <w:r>
        <w:t>• 失速點：國小中年級「調節壓力期」與國一「生理發育期」為惡化高峰。</w:t>
      </w:r>
    </w:p>
    <w:p>
      <w:pPr>
        <w:ind w:left="420" w:hanging="420"/>
      </w:pPr>
      <w:r>
        <w:t>• 高度近視：高中三年級超過 35.7% 學生面臨失明等級風險。</w:t>
      </w:r>
    </w:p>
    <w:p>
      <w:pPr>
        <w:pStyle w:val="Heading2"/>
        <w:spacing w:before="180" w:after="90"/>
      </w:pPr>
      <w:r>
        <w:t>2.2 學童視力治療與矯正 — 臺灣視光視力保健學會 執筆</w:t>
      </w:r>
    </w:p>
    <w:p>
      <w:pPr>
        <w:pStyle w:val="Heading3"/>
      </w:pPr>
      <w:r>
        <w:t>2.2.1 矯正核心：遠方視力「足度全矯正」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散瞳劑（阿托品）療效必須建立在「足度全矯正 (Full Correction)」基礎上。未足度矯正導致之模糊影像（Blur）會誘發化學訊號刺激眼軸增長，抵消藥物效果。</w:t>
      </w:r>
    </w:p>
    <w:p>
      <w:pPr>
        <w:pStyle w:val="Heading3"/>
      </w:pPr>
      <w:r>
        <w:t>2.2.2 藥物介入：阿托品與 LAMP 研究詳解</w:t>
      </w:r>
    </w:p>
    <w:p>
      <w:r>
        <w:t>根據 LAMP 研究，0.05% 阿托品在控制眼軸上效果顯著（抑制 ~0.25mm/年）且副作用多數可適應，為目前公認的黃金平衡點。</w:t>
      </w:r>
    </w:p>
    <w:p>
      <w:pPr>
        <w:pStyle w:val="Heading3"/>
      </w:pPr>
      <w:r>
        <w:t>2.2.3 階梯式處置 SOP</w:t>
      </w:r>
    </w:p>
    <w:p>
      <w:pPr>
        <w:ind w:left="420" w:hanging="420"/>
      </w:pPr>
      <w:r>
        <w:t>• 第一階：行為改善與單焦點鏡片 (SVL)。設定 3 個月追蹤期，若度數增加 &gt;50度則判定為控制不足，需升級方案。</w:t>
      </w:r>
    </w:p>
    <w:p>
      <w:pPr>
        <w:ind w:left="420" w:hanging="420"/>
      </w:pPr>
      <w:r>
        <w:t>• 第二階：升級光學控制（Ortho-K, DIMS/HAL）。角膜塑型應定期執行 Washout（寒暑假停戴 2-4 週）以確保獲取真實屈光數據。</w:t>
      </w:r>
    </w:p>
    <w:p>
      <w:pPr>
        <w:pStyle w:val="Heading3"/>
      </w:pPr>
      <w:r>
        <w:t>2.2.4 雙眼視機能監測警語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長期使用散瞳劑可能影響 AC/A ratio 與調節能力。臨床應定期監測調節幅度、調節靈活度與融像範圍，必要時轉介專業驗光師介入管理。</w:t>
      </w:r>
    </w:p>
    <w:p>
      <w:pPr>
        <w:pStyle w:val="Heading1"/>
        <w:spacing w:before="240" w:after="120"/>
      </w:pPr>
      <w:r>
        <w:t>2.3 視力保健健康不平等 — 張麗春 教授</w:t>
      </w:r>
    </w:p>
    <w:p>
      <w:pPr>
        <w:shd w:val="clear" w:color="auto" w:fill="F2F2F2"/>
        <w:spacing w:before="60" w:after="60"/>
      </w:pPr>
      <w:r>
        <w:rPr>
          <w:color w:val="D9534F"/>
          <w:i/>
        </w:rPr>
        <w:t>（請教授補充內容）</w:t>
      </w:r>
    </w:p>
    <w:p>
      <w:pPr>
        <w:pStyle w:val="Heading1"/>
        <w:spacing w:before="240" w:after="120"/>
      </w:pPr>
      <w:r>
        <w:t>3. 學童視力篩檢與矯正服務之離島跨領域合作模式</w:t>
      </w:r>
    </w:p>
    <w:p>
      <w:pPr>
        <w:pStyle w:val="Heading2"/>
        <w:spacing w:before="180" w:after="90"/>
      </w:pPr>
      <w:r>
        <w:t>3.1 偏鄉兒童視力保健問題 — 張麗春 教授</w:t>
      </w:r>
    </w:p>
    <w:p>
      <w:pPr>
        <w:shd w:val="clear" w:color="auto" w:fill="F2F2F2"/>
        <w:spacing w:before="60" w:after="60"/>
      </w:pPr>
      <w:r>
        <w:rPr>
          <w:color w:val="D9534F"/>
          <w:i/>
        </w:rPr>
        <w:t>（請教授補充內容）</w:t>
      </w:r>
    </w:p>
    <w:p>
      <w:pPr>
        <w:pStyle w:val="Heading2"/>
        <w:spacing w:before="180" w:after="90"/>
      </w:pPr>
      <w:r>
        <w:t>3.2 跨領域服務模式 — 臺灣視光視力保健學會 執筆</w:t>
      </w:r>
    </w:p>
    <w:p>
      <w:pPr>
        <w:pStyle w:val="Heading3"/>
      </w:pPr>
      <w:r>
        <w:t>3.2.1 6 歲以下驗光法理鬥爭</w:t>
      </w:r>
    </w:p>
    <w:p>
      <w:r>
        <w:t>既然法律禁止驗光人員，代表該工作具極高風險，應由眼科醫師「親自操作」儀器，而非下放無照助理。</w:t>
      </w:r>
    </w:p>
    <w:p>
      <w:pPr>
        <w:pStyle w:val="Heading3"/>
      </w:pPr>
      <w:r>
        <w:t>3.2.2 115 年落日條款之自救</w:t>
      </w:r>
    </w:p>
    <w:p>
      <w:r>
        <w:t>落日後離島將面臨屈光資源真空。本會推動「種子計畫」與「遠距醫囑」機制，確保離島孩子不被制度拋棄。</w:t>
      </w:r>
    </w:p>
    <w:p>
      <w:pPr>
        <w:pStyle w:val="Heading2"/>
        <w:spacing w:before="180" w:after="90"/>
      </w:pPr>
      <w:r>
        <w:t>3.3 服務成效 — 臺灣視光視力保健學會 執筆</w:t>
      </w:r>
    </w:p>
    <w:p>
      <w:pPr>
        <w:pStyle w:val="Heading3"/>
      </w:pPr>
      <w:r>
        <w:t>3.3.1 專業傳承：西莒學童返鄉守護案例</w:t>
      </w:r>
    </w:p>
    <w:p>
      <w:r>
        <w:t>受大叔團隊啟發考取視光系並取得國考執照返鄉服務，落實醫療自立。</w:t>
      </w:r>
    </w:p>
    <w:p>
      <w:pPr>
        <w:pStyle w:val="Heading1"/>
        <w:spacing w:before="240" w:after="120"/>
      </w:pPr>
      <w:r>
        <w:t>4. 建議</w:t>
      </w:r>
    </w:p>
    <w:p>
      <w:pPr>
        <w:shd w:val="clear" w:color="auto" w:fill="F2F2F2"/>
        <w:spacing w:before="60" w:after="60"/>
      </w:pPr>
      <w:r>
        <w:rPr>
          <w:color w:val="D9534F"/>
          <w:i/>
        </w:rPr>
        <w:t>（待補充）</w:t>
      </w:r>
    </w:p>
    <w:p>
      <w:pPr>
        <w:pStyle w:val="Heading1"/>
        <w:spacing w:before="240" w:after="120"/>
      </w:pPr>
      <w:r>
        <w:t>5. 結論</w:t>
      </w:r>
    </w:p>
    <w:p>
      <w:pPr>
        <w:shd w:val="clear" w:color="auto" w:fill="F2F2F2"/>
        <w:spacing w:before="60" w:after="60"/>
      </w:pPr>
      <w:r>
        <w:rPr>
          <w:color w:val="D9534F"/>
          <w:i/>
        </w:rPr>
        <w:t>（待補充）</w:t>
      </w:r>
    </w:p>
    <w:p>
      <w:pPr>
        <w:pStyle w:val="Heading1"/>
        <w:spacing w:before="240" w:after="120"/>
      </w:pPr>
      <w:r>
        <w:t>6. 參考文獻</w:t>
      </w:r>
    </w:p>
    <w:p>
      <w:pPr>
        <w:shd w:val="clear" w:color="auto" w:fill="F2F2F2"/>
        <w:spacing w:before="60" w:after="60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40"/>
      <w:szCs w:val="40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  <w:style w:type="paragraph" w:styleId="Heading3">
    <w:name w:val="heading 3"/>
    <w:rPr>
      <w:b/>
      <w:sz w:val="26"/>
      <w:szCs w:val="26"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