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56"/>
          <w:szCs w:val="56"/>
        </w:rPr>
        <w:t>送愛到學校-離島跨領域合作模式 國家戰略正式版</w:t>
      </w:r>
    </w:p>
    <w:p>
      <w:pPr>
        <w:jc w:val="center"/>
        <w:spacing w:after="480"/>
      </w:pPr>
      <w:r>
        <w:rPr>
          <w:b/>
          <w:sz w:val="32"/>
          <w:color w:val="1A4A7C"/>
        </w:rPr>
        <w:t>教育部專案報告：落實校園基礎驗光與離島共同照護戰略</w:t>
      </w:r>
    </w:p>
    <w:p>
      <w:pPr>
        <w:pStyle w:val="Heading1"/>
      </w:pPr>
      <w:r>
        <w:t>1、 前言 — 張麗春 教授</w:t>
      </w:r>
    </w:p>
    <w:p>
      <w:pPr>
        <w:shd w:val="clear" w:color="auto" w:fill="FFF5F5"/>
      </w:pPr>
      <w:r>
        <w:rPr>
          <w:color w:val="C00000"/>
          <w:i/>
        </w:rPr>
        <w:t>（請教授補充內容。核心訴求：建立以專業驗光為基礎、跨領域協作為核心的校園視力守護體系。）</w:t>
      </w:r>
    </w:p>
    <w:p>
      <w:pPr>
        <w:pStyle w:val="Heading1"/>
      </w:pPr>
      <w:r>
        <w:t>2、 文獻查證</w:t>
      </w:r>
    </w:p>
    <w:p>
      <w:pPr>
        <w:pStyle w:val="Heading2"/>
      </w:pPr>
      <w:r>
        <w:t>2.1 學童視力保健現況 — 臺灣視光視力保健學會 執筆</w:t>
      </w:r>
    </w:p>
    <w:p>
      <w:pPr>
        <w:pStyle w:val="Heading3"/>
      </w:pPr>
      <w:r>
        <w:t>2.1.1 臺灣學童視力淪陷史：二十年數據之因果洞察</w:t>
      </w:r>
    </w:p>
    <w:p>
      <w:pPr>
        <w:ind w:left="720" w:hanging="360"/>
        <w:spacing w:after="120"/>
      </w:pPr>
      <w:r>
        <w:rPr>
          <w:b/>
        </w:rPr>
        <w:t>■ </w:t>
      </w:r>
      <w:r>
        <w:t>【數據對照】民國 94 年國小不良率 41.14%，113 年國中端高達 71.96%。連江縣已追平全國平均 (71.21%)。</w:t>
      </w:r>
    </w:p>
    <w:p>
      <w:pPr>
        <w:ind w:left="720" w:hanging="360"/>
        <w:spacing w:after="120"/>
      </w:pPr>
      <w:r>
        <w:rPr>
          <w:b/>
        </w:rPr>
        <w:t>■ </w:t>
      </w:r>
      <w:r>
        <w:t>【國中超速路段】國中三年間以年均 4% 速度惡化。</w:t>
      </w:r>
    </w:p>
    <w:p>
      <w:pPr>
        <w:pStyle w:val="Heading3"/>
      </w:pPr>
      <w:r>
        <w:t>2.1.2 政策實證之辯證：破解「大戶外政策」之數據呈現套路</w:t>
      </w:r>
    </w:p>
    <w:p>
      <w:pPr>
        <w:spacing w:after="120"/>
        <w:jc w:val="both"/>
      </w:pPr>
      <w:r>
        <w:t>本會針對目前公部門常引用之宜蘭學齡前戶外活動數據進行深度解析，揭示數據包裝下被忽略的真相：</w:t>
      </w:r>
    </w:p>
    <w:p>
      <w:pPr>
        <w:ind w:left="720" w:hanging="360"/>
        <w:spacing w:after="120"/>
      </w:pPr>
      <w:r>
        <w:rPr>
          <w:b/>
        </w:rPr>
        <w:t>■ </w:t>
      </w:r>
      <w:r>
        <w:t>【斷章取義之風險】坊間常引用 2014-2016 年宜蘭數據（15.5% 降至 8.4%）宣稱戶外活動之神效。然而，完整數據顯示 2017-2020 年近視率穩定在 8.4%-10.3%，甚至疫情期間回彈至 10.3%。</w:t>
      </w:r>
    </w:p>
    <w:p>
      <w:pPr>
        <w:ind w:left="720" w:hanging="360"/>
        <w:spacing w:after="120"/>
      </w:pPr>
      <w:r>
        <w:rPr>
          <w:b/>
        </w:rPr>
        <w:t>■ </w:t>
      </w:r>
      <w:r>
        <w:t>【公衛天花板與動態平衡】數據證明戶外活動並非「神藥」。其效果存在明顯「天花板」（約 8-9% 為極限），且保護效果屬於「動態平衡」——一旦減少投入（如疫情期間減少 &lt;10% 活動時間），近視率即回彈 20%。這證明戶外活動並非「一次性疫苗」，而是「需每日持續之保健品」。</w:t>
      </w:r>
    </w:p>
    <w:p>
      <w:pPr>
        <w:ind w:left="720" w:hanging="360"/>
        <w:spacing w:after="120"/>
      </w:pPr>
      <w:r>
        <w:rPr>
          <w:b/>
        </w:rPr>
        <w:t>■ </w:t>
      </w:r>
      <w:r>
        <w:t>【混淆預防與控制之誤區】必須嚴正澄清：現行數據僅能證明戶外活動對「未近視之學齡前幼兒」具預防效果；對於「已近視之學童」，國際研究一致證實其控制度數增加之效果極度有限。政策不應拿預防數據去暗示具備控制成效。</w:t>
      </w:r>
    </w:p>
    <w:p>
      <w:pPr>
        <w:pStyle w:val="Heading2"/>
      </w:pPr>
      <w:r>
        <w:t>2.2 學童視力治療與矯正 — 臺灣視光視力保健學會 執筆</w:t>
      </w:r>
    </w:p>
    <w:p>
      <w:pPr>
        <w:pStyle w:val="Heading3"/>
      </w:pPr>
      <w:r>
        <w:t>2.2.1 矯正基石：精確驗光與足度矯正之重要性</w:t>
      </w:r>
    </w:p>
    <w:p>
      <w:pPr>
        <w:spacing w:after="120"/>
        <w:jc w:val="both"/>
      </w:pPr>
      <w:r>
        <w:t>健康的視力是數位學習的基礎設施。未足度矯正 (Under-correction) 導致之模糊影像，會迫使大腦分配額外資源處理視覺錯誤，導致學習效率下降。</w:t>
      </w:r>
    </w:p>
    <w:p>
      <w:pPr>
        <w:ind w:left="960" w:right="960"/>
        <w:shd w:val="clear" w:color="auto" w:fill="F8F9FA"/>
        <w:spacing w:before="240" w:after="240"/>
        <w:pBdr>
          <w:left w:val="single" w:sz="24" w:space="4" w:color="2E6DA4"/>
        </w:pBdr>
      </w:pPr>
      <w:r>
        <w:rPr>
          <w:i/>
          <w:color w:val="444444"/>
        </w:rPr>
        <w:t>「足度全矯正 (Full Correction)」是所有介入措施的物理基石。確保每一份驗光處方之像素級精準，就是守護學童的數位學習效率。</w:t>
      </w:r>
    </w:p>
    <w:p>
      <w:pPr>
        <w:pStyle w:val="Heading3"/>
      </w:pPr>
      <w:r>
        <w:t>2.2.2 近視管理實證：0.05% 阿托品與光學友善性</w:t>
      </w:r>
    </w:p>
    <w:p>
      <w:pPr>
        <w:ind w:left="720" w:hanging="360"/>
        <w:spacing w:after="120"/>
      </w:pPr>
      <w:r>
        <w:rPr>
          <w:b/>
        </w:rPr>
        <w:t>■ </w:t>
      </w:r>
      <w:r>
        <w:t>【0.05% Sweet Spot】根據 LAMP 研究，此濃度在抑制眼軸增長與適應性間達成最佳平衡。</w:t>
      </w:r>
    </w:p>
    <w:p>
      <w:pPr>
        <w:ind w:left="720" w:hanging="360"/>
        <w:spacing w:after="120"/>
      </w:pPr>
      <w:r>
        <w:rPr>
          <w:b/>
        </w:rPr>
        <w:t>■ </w:t>
      </w:r>
      <w:r>
        <w:t>【專業格調 SOP】Ortho-K 應定期執行寒暑假 Washout，以獲取真實屈光度數，這才是負責的臨床表現。</w:t>
      </w:r>
    </w:p>
    <w:p>
      <w:pPr>
        <w:pStyle w:val="Heading3"/>
      </w:pPr>
      <w:r>
        <w:t>2.2.3 雙眼視機能監測：驗光專業的守門員價值</w:t>
      </w:r>
    </w:p>
    <w:p>
      <w:pPr>
        <w:ind w:left="720" w:hanging="360"/>
        <w:spacing w:after="120"/>
      </w:pPr>
      <w:r>
        <w:rPr>
          <w:b/>
        </w:rPr>
        <w:t>■ </w:t>
      </w:r>
      <w:r>
        <w:t>【AC/A Ratio 監控】避免引發高 AC/A 伴隨內斜位傾向，防止閱讀專注力崩潰。</w:t>
      </w:r>
    </w:p>
    <w:p>
      <w:pPr>
        <w:pStyle w:val="Heading1"/>
      </w:pPr>
      <w:r>
        <w:t>3、 離島跨領域合作模式：連江模式 (The Matsu Model)</w:t>
      </w:r>
    </w:p>
    <w:p>
      <w:pPr>
        <w:pStyle w:val="Heading2"/>
      </w:pPr>
      <w:r>
        <w:t>3.2 跨領域服務模式實踐：十載離島公益深耕與守護閉環</w:t>
      </w:r>
    </w:p>
    <w:p>
      <w:pPr>
        <w:pStyle w:val="Heading3"/>
      </w:pPr>
      <w:r>
        <w:t>3.2.1 國中小公益篩檢與專業配鏡之十年軌跡</w:t>
      </w:r>
    </w:p>
    <w:p>
      <w:pPr>
        <w:spacing w:after="120"/>
        <w:jc w:val="both"/>
      </w:pPr>
      <w:r>
        <w:t>本學會團隊深耕離島逾十載，核心任務聚焦於國小與國中學童，確立了「基礎驗光優先」之標竿 SOP：</w:t>
      </w:r>
    </w:p>
    <w:p>
      <w:pPr>
        <w:ind w:left="720" w:hanging="360"/>
        <w:spacing w:after="120"/>
      </w:pPr>
      <w:r>
        <w:rPr>
          <w:b/>
        </w:rPr>
        <w:t>■ </w:t>
      </w:r>
      <w:r>
        <w:t>【填補基礎驗光真空】過去十餘年，本團隊定期深入校園執行「主覺驗光」，解決偏鄉學童「有錢也買不到專業屈光服務」的資源正義問題。</w:t>
      </w:r>
    </w:p>
    <w:p>
      <w:pPr>
        <w:ind w:left="720" w:hanging="360"/>
        <w:spacing w:after="120"/>
      </w:pPr>
      <w:r>
        <w:rPr>
          <w:b/>
        </w:rPr>
        <w:t>■ </w:t>
      </w:r>
      <w:r>
        <w:t>【幼兒共同照護模式】針對 6 歲以下幼兒，採行「醫療引導、視光輔助」法治模式，驗光人員提供專業視覺環境指導，與醫師共同守護視覺儲備。</w:t>
      </w:r>
    </w:p>
    <w:p>
      <w:pPr>
        <w:ind w:left="720" w:hanging="360"/>
        <w:spacing w:after="120"/>
      </w:pPr>
      <w:r>
        <w:rPr>
          <w:b/>
        </w:rPr>
        <w:t>■ </w:t>
      </w:r>
      <w:r>
        <w:t>【115 年落日條款對策】推動「離島遠距醫囑共同照護」機制，確保法規落日後離島之屈光照護不致斷層。</w:t>
      </w:r>
    </w:p>
    <w:p>
      <w:pPr>
        <w:pStyle w:val="Heading2"/>
      </w:pPr>
      <w:r>
        <w:t>3.3 服務成效：翻轉生命之傳承</w:t>
      </w:r>
    </w:p>
    <w:p>
      <w:pPr>
        <w:ind w:left="960" w:right="960"/>
        <w:shd w:val="clear" w:color="auto" w:fill="F8F9FA"/>
        <w:spacing w:before="240" w:after="240"/>
        <w:pBdr>
          <w:left w:val="single" w:sz="24" w:space="4" w:color="2E6DA4"/>
        </w:pBdr>
      </w:pPr>
      <w:r>
        <w:rPr>
          <w:i/>
          <w:color w:val="444444"/>
        </w:rPr>
        <w:t>【成效巔峰】西莒學童受大叔團隊深耕 12 年之感召，考取視光系並取得國家驗光師執照返鄉服務，落實了偏鄉醫療自立。</w:t>
      </w:r>
    </w:p>
    <w:p>
      <w:pPr>
        <w:pStyle w:val="Heading1"/>
      </w:pPr>
      <w:r>
        <w:t>4、 國家級政策訴求：落實基礎專業入校</w:t>
      </w:r>
    </w:p>
    <w:p>
      <w:pPr>
        <w:ind w:left="720" w:hanging="360"/>
        <w:spacing w:after="120"/>
      </w:pPr>
      <w:r>
        <w:rPr>
          <w:b/>
        </w:rPr>
        <w:t>■ </w:t>
      </w:r>
      <w:r>
        <w:t>【提升複查標準】建請將「精密主覺驗光」納入複查標準，取代簡單電腦驗光。</w:t>
      </w:r>
    </w:p>
    <w:p>
      <w:pPr>
        <w:ind w:left="720" w:hanging="360"/>
        <w:spacing w:after="120"/>
      </w:pPr>
      <w:r>
        <w:rPr>
          <w:b/>
        </w:rPr>
        <w:t>■ </w:t>
      </w:r>
      <w:r>
        <w:t>【制度化納入校園體系】正式將具國考證照之專業人員納入校園視力守護體系。</w:t>
      </w:r>
    </w:p>
    <w:p>
      <w:pPr>
        <w:pStyle w:val="Heading1"/>
      </w:pPr>
      <w:r>
        <w:t>5、 結論與建議</w:t>
      </w:r>
    </w:p>
    <w:p>
      <w:pPr>
        <w:shd w:val="clear" w:color="auto" w:fill="FFF5F5"/>
      </w:pPr>
      <w:r>
        <w:rPr>
          <w:color w:val="C00000"/>
          <w:i/>
        </w:rPr>
        <w:t>（待補充。）</w:t>
      </w:r>
    </w:p>
    <w:p>
      <w:pPr>
        <w:pStyle w:val="Heading1"/>
      </w:pPr>
      <w:r>
        <w:t>6、 參考文獻</w:t>
      </w:r>
    </w:p>
    <w:p>
      <w:pPr>
        <w:shd w:val="clear" w:color="auto" w:fill="FFF5F5"/>
      </w:pPr>
      <w:r>
        <w:rPr>
          <w:color w:val="C00000"/>
          <w:i/>
        </w:rPr>
        <w:t>（待補充。）</w:t>
      </w:r>
    </w:p>
  </w:body>
</w:document>
</file>

<file path=word/styles.xml><?xml version="1.0" encoding="utf-8"?>
<w:styles xmlns:w="http://schemas.openxmlformats.org/wordprocessingml/2006/main">
  <w:docDefaults>
    <w:rPrDefault>
      <w:rPr>
        <w:rFonts w:ascii="Times New Roman" w:eastAsia="新細明體" w:hAnsi="Times New Roman"/>
        <w:sz w:val="24"/>
        <w:szCs w:val="24"/>
      </w:rPr>
    </w:rPrDefault>
  </w:docDefaults>
  <w:style w:type="paragraph" w:styleId="Heading1">
    <w:name w:val="heading 1"/>
    <w:rPr>
      <w:b/>
      <w:sz w:val="38"/>
      <w:szCs w:val="38"/>
      <w:color w:val="1A4A7C"/>
    </w:rPr>
    <w:pPr>
      <w:spacing w:before="480" w:after="240"/>
    </w:pPr>
  </w:style>
  <w:style w:type="paragraph" w:styleId="Heading2">
    <w:name w:val="heading 2"/>
    <w:rPr>
      <w:b/>
      <w:sz w:val="32"/>
      <w:szCs w:val="32"/>
      <w:color w:val="2E6DA4"/>
    </w:rPr>
    <w:pPr>
      <w:spacing w:before="360" w:after="180"/>
    </w:pPr>
  </w:style>
  <w:style w:type="paragraph" w:styleId="Heading3">
    <w:name w:val="heading 3"/>
    <w:rPr>
      <w:b/>
      <w:sz w:val="28"/>
      <w:szCs w:val="28"/>
      <w:color w:val="333333"/>
    </w:rPr>
    <w:pPr>
      <w:spacing w:before="240" w:after="120"/>
    </w:p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s>
</file>