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6"/>
          <w:szCs w:val="56"/>
        </w:rPr>
        <w:t>送愛到學校-學童視力篩檢與矯正服務之離島跨領域合作模式 專案報告</w:t>
      </w:r>
    </w:p>
    <w:p>
      <w:pPr>
        <w:jc w:val="center"/>
      </w:pPr>
      <w:r>
        <w:rPr>
          <w:sz w:val="28"/>
        </w:rPr>
        <w:t>（學會負責專章：數據解析、實證學理與離島協作模式）</w:t>
      </w:r>
    </w:p>
    <w:p>
      <w:pPr>
        <w:pStyle w:val="Heading1"/>
      </w:pPr>
      <w:r>
        <w:t>1、 前言 — 張麗春 教授</w:t>
      </w:r>
    </w:p>
    <w:p>
      <w:pPr>
        <w:shd w:val="clear" w:color="auto" w:fill="FFF2F2"/>
      </w:pPr>
      <w:r>
        <w:rPr>
          <w:color w:val="C00000"/>
          <w:i/>
        </w:rPr>
        <w:t>（請教授補充內容，說明專案啟動背景與學術意義）</w:t>
      </w:r>
    </w:p>
    <w:p>
      <w:pPr>
        <w:pStyle w:val="Heading1"/>
      </w:pPr>
      <w:r>
        <w:t>2、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跨越二十載之國民視力斷層剖析 (民國 94 年至 113 年)</w:t>
      </w:r>
    </w:p>
    <w:p>
      <w:pPr>
        <w:spacing w:after="120"/>
        <w:jc w:val="both"/>
      </w:pPr>
      <w:r>
        <w:t>本專章透過教育部二十年間之長週期監測數據，解析台灣學童視力淪陷之結構性軌跡。這不僅是數據的增長，更是公共衛生體系在數位轉型與升學體制下所面臨的嚴峻考驗。</w:t>
      </w:r>
    </w:p>
    <w:p>
      <w:pPr>
        <w:ind w:left="560" w:hanging="280"/>
        <w:spacing w:after="60"/>
      </w:pPr>
      <w:r>
        <w:t>■ 【基線對照：民國 94 學年度】當時全國國小學生視力不良率為 41.14%。數據呈現明顯之城鄉差異紅利：台北市 (49.78%) 與離島連江縣 (31.83%) 存在近 18% 之落差，反映了環境因素（戶外光照時間與近距離用眼強度）對視覺發育之保護性。</w:t>
      </w:r>
    </w:p>
    <w:p>
      <w:pPr>
        <w:ind w:left="560" w:hanging="280"/>
        <w:spacing w:after="60"/>
      </w:pPr>
      <w:r>
        <w:t>■ 【現狀警訊：民國 113 學年度】最新統計揭示，國中端總體視力不良率已飆升至 71.96%。尤為關鍵之發現，連江縣國中端已攀升至 71.21%，地理紅利完全喪失。這證明了「本島化生活型態」已全面滲透至離島，離島學童之視力健康已不具備地理緩衝性。</w:t>
      </w:r>
    </w:p>
    <w:p>
      <w:pPr>
        <w:ind w:left="560" w:hanging="280"/>
        <w:spacing w:after="60"/>
      </w:pPr>
      <w:r>
        <w:t>■ 【國中惡化超速路段】數據曲線顯示：七年級 (68.12%) → 八年級 (72.66%) → 九年級 (75.95%)。國中三年間以年均 4% 速度穩定惡化，其背後之公衛意涵在於「生理發育期」與「升學競爭期」之負面共振，使其成為近視預防與控制之最後防線。</w:t>
      </w:r>
    </w:p>
    <w:p>
      <w:pPr>
        <w:ind w:left="560" w:hanging="280"/>
        <w:spacing w:after="60"/>
      </w:pPr>
      <w:r>
        <w:t>■ 【私立校體制之『視力稅』】私立國中之視力不良率高達 76.03%，顯著優於（劣於）公立體系。這印證了「高度競爭之室內學習環境」已實質成為學童視覺健康的隱形成本。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矯正核心原則：遠方視力「足度全矯正」之生理機制</w:t>
      </w:r>
    </w:p>
    <w:p>
      <w:pPr>
        <w:spacing w:after="120"/>
        <w:jc w:val="both"/>
      </w:pPr>
      <w:r>
        <w:t>本會依據國際近視研究學會 (IMI) 與 ATOM/LAMP 實證研究，確立了近視管理之黃金前提：任何藥物或光學介入（含阿托品），若未建立在「遠方視力足度全矯正 (Full Correction)」基礎上，其療效皆將大打折扣。</w:t>
      </w:r>
    </w:p>
    <w:p>
      <w:pPr>
        <w:ind w:left="720" w:right="720"/>
        <w:shd w:val="clear" w:color="auto" w:fill="F4F4F4"/>
        <w:spacing w:before="120" w:after="120"/>
      </w:pPr>
      <w:r>
        <w:rPr>
          <w:i/>
          <w:b/>
          <w:color w:val="555555"/>
        </w:rPr>
        <w:t>生理邏輯：未足度矯正（欠矯正）導致之視網膜模糊影像 (Blur) 會誘發眼球產生「視網膜後離焦」訊號。此化學訊號會刺激脈絡膜變薄並誘導鞏膜重塑，進而刺激眼軸代償性增長。因此，確保驗光處方之精準度，是所有後續控制行為之根基。</w:t>
      </w:r>
    </w:p>
    <w:p>
      <w:pPr>
        <w:pStyle w:val="Heading3"/>
      </w:pPr>
      <w:r>
        <w:t>2.2.2 藥物介入：低濃度阿托品之深度臨床實證</w:t>
      </w:r>
    </w:p>
    <w:p>
      <w:pPr>
        <w:spacing w:after="120"/>
        <w:jc w:val="both"/>
      </w:pPr>
      <w:r>
        <w:t>根據香港中文大學 LAMP 研究 (2019-2022)，0.05% 阿托品在亞洲學童中被確立為「最佳平衡點 (Sweet Spot)」：</w:t>
      </w:r>
    </w:p>
    <w:p>
      <w:pPr>
        <w:ind w:left="560" w:hanging="280"/>
        <w:spacing w:after="60"/>
      </w:pPr>
      <w:r>
        <w:t>■ 【控制率實證】0.05% 濃度對眼軸增長 (AL) 之抑制效果約為 0.25mm/年，顯著優於 0.01% 在各國研究中呈現之不穩定性。</w:t>
      </w:r>
    </w:p>
    <w:p>
      <w:pPr>
        <w:ind w:left="560" w:hanging="280"/>
        <w:spacing w:after="60"/>
      </w:pPr>
      <w:r>
        <w:t>■ 【副作用耐受】臨床顯示 0.05% 所引發之畏光、調節力損失與瞳孔放大，在專業驗光師輔以光學環境指導下，絕大多數孩子皆具備極佳適應性，不影響學習與戶外運動。</w:t>
      </w:r>
    </w:p>
    <w:p>
      <w:pPr>
        <w:ind w:left="560" w:hanging="280"/>
        <w:spacing w:after="60"/>
      </w:pPr>
      <w:r>
        <w:t>■ 【階梯式減量 SOP】嚴格禁止突然斷藥。長期點藥者停藥時必須採取「濃度漸降」或「頻率漸稀」之階梯式處置，以預防眼軸代償性快速增長之「反彈效應」。</w:t>
      </w:r>
    </w:p>
    <w:p>
      <w:pPr>
        <w:pStyle w:val="Heading3"/>
      </w:pPr>
      <w:r>
        <w:t>2.2.3 專業警語：雙眼視機能監測之必要性</w:t>
      </w:r>
    </w:p>
    <w:p>
      <w:pPr>
        <w:spacing w:after="120"/>
        <w:jc w:val="both"/>
      </w:pPr>
      <w:r>
        <w:t>驗光人員之價值在於監控藥物介入對生理機制之干擾。長期使用散瞳劑會抑制「近見三連動」：</w:t>
      </w:r>
    </w:p>
    <w:p>
      <w:pPr>
        <w:ind w:left="560" w:hanging="280"/>
        <w:spacing w:after="60"/>
      </w:pPr>
      <w:r>
        <w:t>■ 【AC/A Ratio 監控】需監控是否因調節力下降引發高 AC/A 伴隨內斜位 (Esophoria) 傾向。</w:t>
      </w:r>
    </w:p>
    <w:p>
      <w:pPr>
        <w:ind w:left="560" w:hanging="280"/>
        <w:spacing w:after="60"/>
      </w:pPr>
      <w:r>
        <w:t>■ 【調節滯後 (Lag) 管理】若藥物導致之調節滯後過大且未配合光學補助，視網膜後離焦反而誘發度數增加。驗光師必須介入進行雙眼視功能分析與必要的處方調整。</w:t>
      </w:r>
    </w:p>
    <w:p>
      <w:pPr>
        <w:pStyle w:val="Heading2"/>
      </w:pPr>
      <w:r>
        <w:t>2.3 視力保健健康不平等 — 張麗春 教授</w:t>
      </w:r>
    </w:p>
    <w:p>
      <w:pPr>
        <w:shd w:val="clear" w:color="auto" w:fill="FFF2F2"/>
      </w:pPr>
      <w:r>
        <w:rPr>
          <w:color w:val="C00000"/>
          <w:i/>
        </w:rPr>
        <w:t>（請教授補充內容，探討社會經濟地位、資源分配對視力健康之影響）</w:t>
      </w:r>
    </w:p>
    <w:p>
      <w:pPr>
        <w:pStyle w:val="Heading1"/>
      </w:pPr>
      <w:r>
        <w:t>3、 學童視力篩檢與矯正服務之離島跨領域合作模式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FF2F2"/>
      </w:pPr>
      <w:r>
        <w:rPr>
          <w:color w:val="C00000"/>
          <w:i/>
        </w:rPr>
        <w:t>（請教授補充內容）</w:t>
      </w:r>
    </w:p>
    <w:p>
      <w:pPr>
        <w:pStyle w:val="Heading2"/>
      </w:pPr>
      <w:r>
        <w:t>3.2 跨領域服務模式 — 幼兒與學童視力之共同照護模型 (離島專項)</w:t>
      </w:r>
    </w:p>
    <w:p>
      <w:pPr>
        <w:pStyle w:val="Heading3"/>
      </w:pPr>
      <w:r>
        <w:t>3.2.1 醫、教、光三方協作之「守護閉環」</w:t>
      </w:r>
    </w:p>
    <w:p>
      <w:pPr>
        <w:spacing w:after="120"/>
        <w:jc w:val="both"/>
      </w:pPr>
      <w:r>
        <w:t>本模式之核心優勢在於建立離島資源互補機制。驗光人員作為視力健康的第一線「偵查兵」，與醫療端、教育端形成完美對接：</w:t>
      </w:r>
    </w:p>
    <w:p>
      <w:pPr>
        <w:ind w:left="560" w:hanging="280"/>
        <w:spacing w:after="60"/>
      </w:pPr>
      <w:r>
        <w:t>■ 【6 歲以下共同照護】本計畫嚴格遵守《驗光人員法》之規範。針對 6 歲以下幼兒，採行「醫療引導、視光輔助」之模式：由衛生所醫師進行基礎病理與初步屈光評估，驗光人員則提供家長關於視覺環境佈置、遠視儲備監測之專業衛教諮詢。</w:t>
      </w:r>
    </w:p>
    <w:p>
      <w:pPr>
        <w:ind w:left="560" w:hanging="280"/>
        <w:spacing w:after="60"/>
      </w:pPr>
      <w:r>
        <w:t>■ 【綠色轉介與銜接】建立快速通報系統，將篩檢異常個案精準分類。疑似眼疾者轉銜至眼科醫療團；單純屈光問題者由驗光師執行主覺驗光，確保離島學童不因地理阻隔錯失早期介入時機。</w:t>
      </w:r>
    </w:p>
    <w:p>
      <w:pPr>
        <w:ind w:left="560" w:hanging="280"/>
        <w:spacing w:after="60"/>
      </w:pPr>
      <w:r>
        <w:t>■ 【115 年落日條款對策】因應法規更迭，本會致力於推動「種子人才培育」與「遠距共同醫囑指導機制」，確保法規落日後離島之屈光照護不致斷層。</w:t>
      </w:r>
    </w:p>
    <w:p>
      <w:pPr>
        <w:pStyle w:val="Heading2"/>
      </w:pPr>
      <w:r>
        <w:t>3.3 服務成效 — 臺灣視光視力保健學會 執筆</w:t>
      </w:r>
    </w:p>
    <w:p>
      <w:pPr>
        <w:pStyle w:val="Heading3"/>
      </w:pPr>
      <w:r>
        <w:t>3.3.1 翻轉生命之傳承實證：西莒學童返鄉守護案</w:t>
      </w:r>
    </w:p>
    <w:p>
      <w:pPr>
        <w:spacing w:after="120"/>
        <w:jc w:val="both"/>
      </w:pPr>
      <w:r>
        <w:t>本計畫最令人動容之成效，不在於篩檢數量，而在於對生命的深度改變。一位居住於連江縣西莒島之學童，從小接受大叔團隊之巡迴篩檢與矯正服務，深受視光專業精神之感召，考取元培醫大視光系。</w:t>
      </w:r>
    </w:p>
    <w:p>
      <w:pPr>
        <w:ind w:left="720" w:right="720"/>
        <w:shd w:val="clear" w:color="auto" w:fill="F4F4F4"/>
        <w:spacing w:before="120" w:after="120"/>
      </w:pPr>
      <w:r>
        <w:rPr>
          <w:i/>
          <w:b/>
          <w:color w:val="555555"/>
        </w:rPr>
        <w:t>成效巔峰：該學童於去年正式考取「國家驗光師執照」，並帶著國考證照回到偏鄉參與巡迴服務。這象徵著離島醫療從「依賴外援」走向「專業自立」，是 12 年送愛到學校計畫最紮實的見證。</w:t>
      </w:r>
    </w:p>
    <w:p>
      <w:pPr>
        <w:pStyle w:val="Heading1"/>
      </w:pPr>
      <w:r>
        <w:t>4、 建議</w:t>
      </w:r>
    </w:p>
    <w:p>
      <w:pPr>
        <w:shd w:val="clear" w:color="auto" w:fill="FFF2F2"/>
      </w:pPr>
      <w:r>
        <w:rPr>
          <w:color w:val="C00000"/>
          <w:i/>
        </w:rPr>
        <w:t>（待補充）</w:t>
      </w:r>
    </w:p>
    <w:p>
      <w:pPr>
        <w:pStyle w:val="Heading1"/>
      </w:pPr>
      <w:r>
        <w:t>5、 結論</w:t>
      </w:r>
    </w:p>
    <w:p>
      <w:pPr>
        <w:shd w:val="clear" w:color="auto" w:fill="FFF2F2"/>
      </w:pPr>
      <w:r>
        <w:rPr>
          <w:color w:val="C00000"/>
          <w:i/>
        </w:rPr>
        <w:t>（待補充）</w:t>
      </w:r>
    </w:p>
    <w:p>
      <w:pPr>
        <w:pStyle w:val="Heading1"/>
      </w:pPr>
      <w:r>
        <w:t>6、 參考文獻</w:t>
      </w:r>
    </w:p>
    <w:p>
      <w:pPr>
        <w:shd w:val="clear" w:color="auto" w:fill="FFF2F2"/>
      </w:pPr>
      <w:r>
        <w:rPr>
          <w:color w:val="C00000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新細明體" w:hAnsi="Times New Roman"/>
        <w:sz w:val="24"/>
        <w:szCs w:val="24"/>
      </w:rPr>
    </w:rPrDefault>
  </w:docDefaults>
  <w:style w:type="paragraph" w:styleId="Heading1">
    <w:name w:val="heading 1"/>
    <w:rPr>
      <w:b/>
      <w:sz w:val="36"/>
      <w:szCs w:val="36"/>
      <w:color w:val="1A4A7C"/>
    </w:rPr>
    <w:pPr>
      <w:spacing w:before="480" w:after="240"/>
    </w:pPr>
  </w:style>
  <w:style w:type="paragraph" w:styleId="Heading2">
    <w:name w:val="heading 2"/>
    <w:rPr>
      <w:b/>
      <w:sz w:val="32"/>
      <w:szCs w:val="32"/>
      <w:color w:val="2E6DA4"/>
    </w:rPr>
    <w:pPr>
      <w:spacing w:before="360" w:after="180"/>
    </w:pPr>
  </w:style>
  <w:style w:type="paragraph" w:styleId="Heading3">
    <w:name w:val="heading 3"/>
    <w:rPr>
      <w:b/>
      <w:sz w:val="28"/>
      <w:szCs w:val="28"/>
      <w:color w:val="333333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/Relationships>
</file>