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szCs w:val="48"/>
        </w:rPr>
        <w:t>教育部專案報告-離島跨領域合作模式 終極全量版</w:t>
      </w:r>
    </w:p>
    <w:p>
      <w:pPr>
        <w:pStyle w:val="Heading1"/>
        <w:spacing w:before="360" w:after="180"/>
      </w:pPr>
      <w:r>
        <w:t>2.1 學童視力保健現況 — 臺灣視光視力保健學會 執筆</w:t>
      </w:r>
    </w:p>
    <w:p>
      <w:r>
        <w:t>跨越 20 年的數據觀察揭示視力健康結構性惡化。民國 94 學年度國小總體不良率 41.14%，台北市 (49.78%) 與離島連江縣 (31.83%) 仍有顯著落差。</w:t>
      </w:r>
    </w:p>
    <w:p>
      <w:r>
        <w:t>至民國 113 學年度，國中生總體視力不良率高達 71.96%，且七年級 (68.12%) → 九年級 (75.95%) 穩定攀升，年增約 4%。連江縣已攀升至 71.21%，地理優勢完全喪失。</w:t>
      </w:r>
    </w:p>
    <w:p>
      <w:pPr>
        <w:pStyle w:val="Heading1"/>
        <w:spacing w:before="360" w:after="180"/>
      </w:pPr>
      <w:r>
        <w:t>2.2 學童視力治療與矯正 — 臺灣視光視力保健學會 執筆</w:t>
      </w:r>
    </w:p>
    <w:p>
      <w:pPr>
        <w:pStyle w:val="Heading2"/>
        <w:spacing w:before="240" w:after="120"/>
      </w:pPr>
      <w:r>
        <w:t>2.2.1 矯正核心原則：遠方視力「足度全矯正」</w:t>
      </w:r>
    </w:p>
    <w:p>
      <w:r>
        <w:t>散瞳劑之療效必須建立在足度全矯正基礎上。未足度矯正導致之模糊影像（Blur）會誘發化學訊號刺激眼球眼軸增長，直接抵消藥物效果。凡近視者，點藥前必須確保光學矯正之精準度。</w:t>
      </w:r>
    </w:p>
    <w:p>
      <w:pPr>
        <w:pStyle w:val="Heading2"/>
        <w:spacing w:before="240" w:after="120"/>
      </w:pPr>
      <w:r>
        <w:t>2.2.2 藥物介入：阿托品臨床深度對照</w:t>
      </w:r>
    </w:p>
    <w:p>
      <w:r>
        <w:t>阿托品是一種非選擇性蕈毒鹼受體拮抗劑，可透過以下機制減緩近視進展：作用於視網膜或鞏膜上的蕈毒鹼受體，干擾眼軸增長的訊號傳遞。根據 LAMP Study，0.05% 阿托品在控制眼軸增長上效果顯著（抑制率 ~0.25mm/年），且副作用如畏光與調節力下降多數學童可適應。長期使用應定期監測 AC/A ratio、調節幅度與輻輳近點 (NPC)。</w:t>
      </w:r>
    </w:p>
    <w:p>
      <w:pPr>
        <w:pStyle w:val="Heading2"/>
        <w:spacing w:before="240" w:after="120"/>
      </w:pPr>
      <w:r>
        <w:t>2.2.3 光學介入與階梯式處置</w:t>
      </w:r>
    </w:p>
    <w:p>
      <w:r>
        <w:t>第一階：單焦點鏡片 (SVL) 與 3 個月黃金追蹤期。若度數增加 &gt; 50 度，應升級處置。</w:t>
      </w:r>
    </w:p>
    <w:p>
      <w:r>
        <w:t>角膜塑型 (Ortho-K) 透過夜間配戴暫時改變角膜弧度，產生周邊離焦效果，研究顯示可減少約 40-60% 之眼軸增長。使用者每年應安排寒暑假 2-4 週之 Washout (停戴期)，確保獲取真實屈光度數與角膜圖判讀，這才是專業的格調。</w:t>
      </w:r>
    </w:p>
    <w:p>
      <w:r>
        <w:t>周邊離焦鏡片 (DIMS/HAL) 透過鏡片周邊產生近視性離焦。需注意部分廠商仿單載明「應先散瞳驗光」，驗光師應與醫師合作，確保處方具備完整數據。</w:t>
      </w:r>
    </w:p>
    <w:p>
      <w:pPr>
        <w:pStyle w:val="Heading2"/>
        <w:spacing w:before="240" w:after="120"/>
      </w:pPr>
      <w:r>
        <w:t>2.2.4 雙眼視機能監測與管理</w:t>
      </w:r>
    </w:p>
    <w:p>
      <w:r>
        <w:t>長期使用散瞳劑可能抑制調節與瞳孔收縮，影響看近融像。臨床上應定期監測調節靈活度與融像範圍，由驗光師執行雙眼視功能管理。</w:t>
      </w:r>
    </w:p>
    <w:p>
      <w:pPr>
        <w:pStyle w:val="Heading1"/>
        <w:spacing w:before="360" w:after="180"/>
      </w:pPr>
      <w:r>
        <w:t>3.2 跨領域服務模式 — 離島共同照護模型</w:t>
      </w:r>
    </w:p>
    <w:p>
      <w:r>
        <w:t>建立『醫、教、光』協作模式。驗光人員作為偵查兵執行精密驗光；6 歲以下幼兒採取醫療導向共同照護，由醫師評估並建立綠色通道。針對 115 年落日條款推動種子計畫，確保人才銜接。</w:t>
      </w:r>
    </w:p>
    <w:p>
      <w:pPr>
        <w:pStyle w:val="Heading1"/>
        <w:spacing w:before="360" w:after="180"/>
      </w:pPr>
      <w:r>
        <w:t>3.3 服務成效：西莒傳承案例</w:t>
      </w:r>
    </w:p>
    <w:p>
      <w:r>
        <w:t>西莒學童受啟發考取驗光師執照，為離島醫療自立之典範。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  <w:style w:type="paragraph" w:styleId="Heading2">
    <w:name w:val="heading 2"/>
    <w:rPr>
      <w:b/>
      <w:sz w:val="32"/>
      <w:szCs w:val="32"/>
      <w:color w:val="2E6DA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