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6"/>
          <w:szCs w:val="56"/>
        </w:rPr>
        <w:t>教育部專案報告-離島跨領域合作模式 終極正式版</w:t>
      </w:r>
    </w:p>
    <w:p>
      <w:pPr>
        <w:jc w:val="center"/>
        <w:spacing w:after="480"/>
      </w:pPr>
      <w:r>
        <w:rPr>
          <w:b/>
          <w:sz w:val="32"/>
          <w:color w:val="1A4A7C"/>
        </w:rPr>
        <w:t>教育部專案報告：十載離島公益深耕與學童視力守護戰略</w:t>
      </w:r>
    </w:p>
    <w:p>
      <w:pPr>
        <w:pStyle w:val="Heading1"/>
      </w:pPr>
      <w:r>
        <w:t>1、 前言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（請教授補充內容。核心戰略訴求：將學童視力定義為國家「視覺資本」，建立以專業驗光為基礎之校園守護體系。）</w:t>
      </w:r>
    </w:p>
    <w:p>
      <w:pPr>
        <w:pStyle w:val="Heading1"/>
      </w:pPr>
      <w:r>
        <w:t>2、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臺灣學童視力淪陷之二十年因果洞察</w:t>
      </w:r>
    </w:p>
    <w:p>
      <w:pPr>
        <w:spacing w:after="120"/>
        <w:jc w:val="both"/>
      </w:pPr>
      <w:r>
        <w:t>對比民國 94 與 113 學年度監測數據，我國學童視力健康呈現結構性惡化。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【數據事實】民國 94 年國小不良率 41.14%，113 年國中端已飆升至 71.96%。離島連江縣由優等生 (31.83%) 追平全國平均 (71.21%)，地理優勢完全喪失。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【惡化失速點】國中三年間以年均 4% 速度惡化，國一不良率接近小六之兩倍。這代表「升學斷層」是視力崩壞的核彈。</w:t>
      </w:r>
    </w:p>
    <w:p>
      <w:pPr>
        <w:pStyle w:val="Heading3"/>
      </w:pPr>
      <w:r>
        <w:t>2.1.2 數據實證：醫療端專業屈光人力之「結構性真空」</w:t>
      </w:r>
    </w:p>
    <w:p>
      <w:pPr>
        <w:spacing w:after="120"/>
        <w:jc w:val="both"/>
      </w:pPr>
      <w:r>
        <w:t>本會針對新北市 120 家眼科機構之醫事人力進行像素級掃描，結果揭示了現行體系無法落實精密驗光之根本原因：</w:t>
      </w:r>
    </w:p>
    <w:p>
      <w:pPr>
        <w:ind w:left="720" w:hanging="360"/>
        <w:spacing w:after="120"/>
      </w:pPr>
      <w:r>
        <w:rPr>
          <w:b/>
        </w:rPr>
        <w:t>■ </w:t>
      </w:r>
      <w:r>
        <w:t>【師級戰力極度稀缺】調查顯示，全體 120 家機構中，師級驗光戰力（驗光師）僅有 88 名。這意味著平均每家機構分不到 0.73 位驗光師，甚至有大量診所處於「完全無師級驗光人力」之狀態。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【行政掛號壓倒精密管理】護理人員 (RN/LPN) 共 221 名，是師級驗光戰力之 2.5 倍。這印證了醫療端目前的人力配置高度傾向於「病理治療與行政掛號」，而非「精密屈光管理」。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【基礎專業不足之代價】在專業驗光師嚴重缺位之情況下，所謂的「複查回條」極大機率淪為三分鐘之電腦驗光與蓋章程序，這正是導致台灣防治政策推行 25 年卻成效不彰之核心痛點。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矯正核心學理：『模糊即腦力資源浪費』與足度矯正</w:t>
      </w:r>
    </w:p>
    <w:p>
      <w:pPr>
        <w:spacing w:after="120"/>
        <w:jc w:val="both"/>
      </w:pPr>
      <w:r>
        <w:t>健康的視力是學習的基礎設施。本會嚴正強調：未足度矯正 (Under-correction) 導致之模糊影像，會迫使大腦分配額外資源處理視覺錯誤，直接侵蝕學童之學習專注力。</w:t>
      </w:r>
    </w:p>
    <w:p>
      <w:pPr>
        <w:ind w:left="960" w:right="960"/>
        <w:shd w:val="clear" w:color="auto" w:fill="F8F9FA"/>
        <w:spacing w:before="240" w:after="240"/>
        <w:pBdr>
          <w:left w:val="single" w:sz="24" w:space="4" w:color="2E6DA4"/>
        </w:pBdr>
      </w:pPr>
      <w:r>
        <w:rPr>
          <w:i/>
          <w:color w:val="444444"/>
        </w:rPr>
        <w:t>生理邏輯：未足度矯正誘導之「視網膜後離焦」訊號會誘導鞏膜重塑，造成眼軸代償性增長。確保處方之像素級精準，就是守護學童的學習效率。</w:t>
      </w:r>
    </w:p>
    <w:p>
      <w:pPr>
        <w:pStyle w:val="Heading3"/>
      </w:pPr>
      <w:r>
        <w:t>2.2.2 近視管理之實證應用：0.05% 阿托品與環境友善性</w:t>
      </w:r>
    </w:p>
    <w:p>
      <w:pPr>
        <w:ind w:left="720" w:hanging="360"/>
        <w:spacing w:after="120"/>
      </w:pPr>
      <w:r>
        <w:rPr>
          <w:b/>
        </w:rPr>
        <w:t>■ </w:t>
      </w:r>
      <w:r>
        <w:t>【0.05% Sweet Spot】根據 LAMP 研究，此濃度在眼軸抑制與適應性間達成最佳平衡。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【光學介入之環保優勢】強調 DIMS/HAL 與 Ortho-K 對學童戶外活動之友善性。Ortho-K 應定期執行寒暑假 Washout，以獲取真實屈光度數，展現負責的臨床格調。</w:t>
      </w:r>
    </w:p>
    <w:p>
      <w:pPr>
        <w:pStyle w:val="Heading1"/>
      </w:pPr>
      <w:r>
        <w:t>3、 離島跨領域合作模式：連江模式 (The Matsu Model)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（請教授補充。）</w:t>
      </w:r>
    </w:p>
    <w:p>
      <w:pPr>
        <w:pStyle w:val="Heading2"/>
      </w:pPr>
      <w:r>
        <w:t>3.2 跨領域服務模式實踐：解決「基礎驗光不足」之十載公益深耕</w:t>
      </w:r>
    </w:p>
    <w:p>
      <w:pPr>
        <w:pStyle w:val="Heading3"/>
      </w:pPr>
      <w:r>
        <w:t>3.2.1 國中小公益篩檢與專業配鏡之歷史遺產</w:t>
      </w:r>
    </w:p>
    <w:p>
      <w:pPr>
        <w:spacing w:after="120"/>
        <w:jc w:val="both"/>
      </w:pPr>
      <w:r>
        <w:t>本學會團隊深耕離島逾十載，核心任務始終聚焦於國小與國中學童，確立了「基礎驗光優先」之標竿 SOP：</w:t>
      </w:r>
    </w:p>
    <w:p>
      <w:pPr>
        <w:ind w:left="720" w:hanging="360"/>
        <w:spacing w:after="120"/>
      </w:pPr>
      <w:r>
        <w:rPr>
          <w:b/>
        </w:rPr>
        <w:t>■ </w:t>
      </w:r>
      <w:r>
        <w:t>【十年公益實績】過去十餘年，本團隊定期攜帶精密主覺驗光設備深入連江縣國中小校園，執行大規模公益篩檢。我們解決的不是藥物問題，而是偏鄉學童「有錢也買不到精準處方眼鏡」之基礎照護正義。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【醫療導向之幼兒照護】針對 6 歲以下幼兒，本計畫採取「醫療引導、視光協助」法治模式，確保幼兒視覺儲備受醫師嚴格守護。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【115 年落日條款對策】推動「離島遠距醫囑共同照護」與「種子人才計畫」，確保離島孩子不失去獲得精準驗光之權利。</w:t>
      </w:r>
    </w:p>
    <w:p>
      <w:pPr>
        <w:pStyle w:val="Heading2"/>
      </w:pPr>
      <w:r>
        <w:t>3.3 服務成效：翻轉生命之傳承</w:t>
      </w:r>
    </w:p>
    <w:p>
      <w:pPr>
        <w:ind w:left="960" w:right="960"/>
        <w:shd w:val="clear" w:color="auto" w:fill="F8F9FA"/>
        <w:spacing w:before="240" w:after="240"/>
        <w:pBdr>
          <w:left w:val="single" w:sz="24" w:space="4" w:color="2E6DA4"/>
        </w:pBdr>
      </w:pPr>
      <w:r>
        <w:rPr>
          <w:i/>
          <w:color w:val="444444"/>
        </w:rPr>
        <w:t>【成效巔峰】西莒學童受大叔團隊深耕 12 年之感召，考取視光系並取得國家驗光師執照返鄉服務，實現了真正意義上的「偏鄉醫療自立」。</w:t>
      </w:r>
    </w:p>
    <w:p>
      <w:pPr>
        <w:pStyle w:val="Heading1"/>
      </w:pPr>
      <w:r>
        <w:t>4、 國家級政策訴求：落實基礎專業入校</w:t>
      </w:r>
    </w:p>
    <w:p>
      <w:pPr>
        <w:ind w:left="720" w:hanging="360"/>
        <w:spacing w:after="120"/>
      </w:pPr>
      <w:r>
        <w:rPr>
          <w:b/>
        </w:rPr>
        <w:t>■ </w:t>
      </w:r>
      <w:r>
        <w:t>【提升複查標準】建請將「精密主覺驗光」納入國中小視力篩檢異常後之複查標準，取代簡單電腦驗光。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【專業人員制度化入校】正式將具國考證照之專業驗光人員納入校園體系，解決醫療端「基礎驗光人力不足、品質堪憂」之現狀。</w:t>
      </w:r>
    </w:p>
    <w:p>
      <w:pPr>
        <w:pStyle w:val="Heading1"/>
      </w:pPr>
      <w:r>
        <w:t>5、 結論與建議</w:t>
      </w:r>
    </w:p>
    <w:p>
      <w:pPr>
        <w:shd w:val="clear" w:color="auto" w:fill="FFF5F5"/>
      </w:pPr>
      <w:r>
        <w:rPr>
          <w:color w:val="C00000"/>
          <w:i/>
        </w:rPr>
        <w:t>（待補充。）</w:t>
      </w:r>
    </w:p>
    <w:p>
      <w:pPr>
        <w:pStyle w:val="Heading1"/>
      </w:pPr>
      <w:r>
        <w:t>6、 參考文獻</w:t>
      </w:r>
    </w:p>
    <w:p>
      <w:pPr>
        <w:shd w:val="clear" w:color="auto" w:fill="FFF5F5"/>
      </w:pPr>
      <w:r>
        <w:rPr>
          <w:color w:val="C00000"/>
          <w:i/>
        </w:rPr>
        <w:t>（待補充。）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新細明體" w:hAnsi="Times New Roman"/>
        <w:sz w:val="24"/>
        <w:szCs w:val="24"/>
      </w:rPr>
    </w:rPrDefault>
  </w:docDefaults>
  <w:style w:type="paragraph" w:styleId="Heading1">
    <w:name w:val="heading 1"/>
    <w:rPr>
      <w:b/>
      <w:sz w:val="38"/>
      <w:szCs w:val="38"/>
      <w:color w:val="1A4A7C"/>
    </w:rPr>
    <w:pPr>
      <w:spacing w:before="480" w:after="240"/>
    </w:pPr>
  </w:style>
  <w:style w:type="paragraph" w:styleId="Heading2">
    <w:name w:val="heading 2"/>
    <w:rPr>
      <w:b/>
      <w:sz w:val="32"/>
      <w:szCs w:val="32"/>
      <w:color w:val="2E6DA4"/>
    </w:rPr>
    <w:pPr>
      <w:spacing w:before="360" w:after="180"/>
    </w:pPr>
  </w:style>
  <w:style w:type="paragraph" w:styleId="Heading3">
    <w:name w:val="heading 3"/>
    <w:rPr>
      <w:b/>
      <w:sz w:val="28"/>
      <w:szCs w:val="28"/>
      <w:color w:val="333333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