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B494" w14:textId="33FCA7A0" w:rsidR="004C63FE" w:rsidRDefault="008B147F">
      <w:pPr>
        <w:pStyle w:val="1"/>
        <w:spacing w:before="360" w:after="200"/>
        <w:jc w:val="center"/>
      </w:pPr>
      <w:r>
        <w:rPr>
          <w:rFonts w:hint="eastAsia"/>
        </w:rPr>
        <w:t xml:space="preserve"> </w:t>
      </w:r>
      <w:r w:rsidR="00000000">
        <w:t>送愛到學校</w:t>
      </w:r>
      <w:r w:rsidR="00000000">
        <w:t>——</w:t>
      </w:r>
      <w:r w:rsidR="00000000">
        <w:t>學童視力篩檢與矯正服務之離島跨領域合作模式</w:t>
      </w:r>
    </w:p>
    <w:p w14:paraId="09EA392E" w14:textId="77777777" w:rsidR="004C63FE" w:rsidRDefault="00000000">
      <w:pPr>
        <w:pStyle w:val="2"/>
        <w:spacing w:before="320" w:after="160"/>
      </w:pPr>
      <w:r>
        <w:t xml:space="preserve">1. </w:t>
      </w:r>
      <w:r>
        <w:t>前言</w:t>
      </w:r>
    </w:p>
    <w:p w14:paraId="79A06203" w14:textId="77777777" w:rsidR="004C63FE" w:rsidRDefault="00000000">
      <w:pPr>
        <w:spacing w:before="120" w:after="120"/>
        <w:ind w:firstLine="576"/>
      </w:pPr>
      <w:r>
        <w:t>近二十年來，我國學童視力不良率長期維持在高檔水準，已成為兒童與青少年健康照護中的重要議題。教育部自</w:t>
      </w:r>
      <w:r>
        <w:t xml:space="preserve"> 2005 </w:t>
      </w:r>
      <w:r>
        <w:t>年起之長期監測資料顯示，</w:t>
      </w:r>
      <w:r>
        <w:t xml:space="preserve">112 </w:t>
      </w:r>
      <w:r>
        <w:t>學年度小學一年級、小學六年級、國中三年級與高中三年級之視力不良率分別為</w:t>
      </w:r>
      <w:r>
        <w:t xml:space="preserve"> 26.69%</w:t>
      </w:r>
      <w:r>
        <w:t>、</w:t>
      </w:r>
      <w:r>
        <w:t>62.99%</w:t>
      </w:r>
      <w:r>
        <w:t>、</w:t>
      </w:r>
      <w:r>
        <w:t xml:space="preserve">72.41% </w:t>
      </w:r>
      <w:r>
        <w:t>與</w:t>
      </w:r>
      <w:r>
        <w:t xml:space="preserve"> 81.61%</w:t>
      </w:r>
      <w:r>
        <w:t>（教育部國民及學前教育署，</w:t>
      </w:r>
      <w:r>
        <w:t>2024</w:t>
      </w:r>
      <w:r>
        <w:t>）。高度近視不僅影響學童學習表現與生活品質，更與視網膜剝離、黃斑部病變等終身視覺併發症風險相關（</w:t>
      </w:r>
      <w:r>
        <w:t>Flitcroft et al., 2019</w:t>
      </w:r>
      <w:r>
        <w:t>），對個人、家庭與社會皆造成長期負擔。</w:t>
      </w:r>
    </w:p>
    <w:p w14:paraId="18DD1829" w14:textId="77777777" w:rsidR="004C63FE" w:rsidRDefault="00000000">
      <w:pPr>
        <w:spacing w:before="120" w:after="120"/>
        <w:ind w:firstLine="576"/>
      </w:pPr>
      <w:r>
        <w:t>目前多數學校視力檢查仍以「視力不良率」作為主要指標，後續在屈光矯正品質、近視進展監測與雙眼視功能評估等面向，尚存在明顯落差，導致部分學童即使被辨識為視力不良，實際獲得完整照護的程度仍有限。離島與偏鄉地區在視力保健資源上的不平等，更加深學童的健康風險。以連江縣為例，國中階段視力不良率已逼近本島都會區水準，惟當地缺乏穩定之屈光與視光專業服務提供者，學童欲獲得精確驗光與適切近視管理往往需跨海就醫，形成可近性與持續性的雙重障礙。在驗光人員法落日條款即將實施的背景下，離島地區更可能面臨屈光服務「法規斷崖」的風險，使原已脆弱的視力照護體系更加不穩定。</w:t>
      </w:r>
    </w:p>
    <w:p w14:paraId="74F4952A" w14:textId="77777777" w:rsidR="004C63FE" w:rsidRDefault="00000000">
      <w:pPr>
        <w:spacing w:before="120" w:after="120"/>
        <w:ind w:firstLine="576"/>
      </w:pPr>
      <w:r>
        <w:t>基於上述問題，本研究以「送愛到學校」離島學童視力篩檢與矯正服務為例，探討在醫療資源相對匱乏的情境下，如何透過學校、護理專業、視光團隊與地方政府之跨領域合作，建構一套兼具可行性與延續性的視力保健服務模式。研究目的包括：（</w:t>
      </w:r>
      <w:r>
        <w:t>1</w:t>
      </w:r>
      <w:r>
        <w:t>）描述離島學童視力與屈光照護現況及其面臨之結構性</w:t>
      </w:r>
      <w:r>
        <w:lastRenderedPageBreak/>
        <w:t>困境；（</w:t>
      </w:r>
      <w:r>
        <w:t>2</w:t>
      </w:r>
      <w:r>
        <w:t>）說明離島跨領域視力保健服務模式之設計理念與實際運作流程；（</w:t>
      </w:r>
      <w:r>
        <w:t>3</w:t>
      </w:r>
      <w:r>
        <w:t>）從護理與教育實務觀點，提出未來推展偏鄉與離島學童視力保健之具體建議。</w:t>
      </w:r>
    </w:p>
    <w:p w14:paraId="660B55E8" w14:textId="77777777" w:rsidR="004C63FE" w:rsidRDefault="00000000">
      <w:pPr>
        <w:pStyle w:val="2"/>
        <w:spacing w:before="320" w:after="160"/>
      </w:pPr>
      <w:r>
        <w:t xml:space="preserve">2. </w:t>
      </w:r>
      <w:r>
        <w:t>文獻查證</w:t>
      </w:r>
    </w:p>
    <w:p w14:paraId="5BEB839D" w14:textId="77777777" w:rsidR="004C63FE" w:rsidRDefault="00000000">
      <w:pPr>
        <w:pStyle w:val="3"/>
        <w:spacing w:before="280" w:after="140"/>
      </w:pPr>
      <w:r>
        <w:t xml:space="preserve">2.1 </w:t>
      </w:r>
      <w:r>
        <w:t>學童視力保健現況</w:t>
      </w:r>
      <w:r>
        <w:t xml:space="preserve"> ── </w:t>
      </w:r>
      <w:r>
        <w:t>臺灣視光視力保健學會</w:t>
      </w:r>
      <w:r>
        <w:t xml:space="preserve"> </w:t>
      </w:r>
      <w:r>
        <w:t>執筆</w:t>
      </w:r>
    </w:p>
    <w:p w14:paraId="7525122C" w14:textId="77777777" w:rsidR="004C63FE" w:rsidRDefault="00000000">
      <w:pPr>
        <w:pStyle w:val="4"/>
        <w:spacing w:before="240" w:after="120"/>
      </w:pPr>
      <w:r>
        <w:t xml:space="preserve">2.1.1 </w:t>
      </w:r>
      <w:r>
        <w:t>全國視力惡化趨勢之結構性剖析</w:t>
      </w:r>
    </w:p>
    <w:p w14:paraId="2A3710A8" w14:textId="77777777" w:rsidR="004C63FE" w:rsidRDefault="00000000">
      <w:pPr>
        <w:spacing w:before="120" w:after="120"/>
        <w:ind w:firstLine="576"/>
      </w:pPr>
      <w:r>
        <w:t>根據教育部</w:t>
      </w:r>
      <w:r>
        <w:t xml:space="preserve"> 2005 </w:t>
      </w:r>
      <w:r>
        <w:t>年至</w:t>
      </w:r>
      <w:r>
        <w:t xml:space="preserve"> 2024 </w:t>
      </w:r>
      <w:r>
        <w:t>年之長周期數據，我國學童視力健康呈現結構性惡化，各類防治政策推行多年仍未能有效遏制（教育部國民及學前教育署，</w:t>
      </w:r>
      <w:r>
        <w:t>2024</w:t>
      </w:r>
      <w:r>
        <w:t>）。關鍵指標如下：</w:t>
      </w:r>
    </w:p>
    <w:p w14:paraId="1D86BB73" w14:textId="77777777" w:rsidR="004C63FE" w:rsidRDefault="00000000">
      <w:pPr>
        <w:pStyle w:val="a4"/>
        <w:numPr>
          <w:ilvl w:val="0"/>
          <w:numId w:val="1"/>
        </w:numPr>
        <w:spacing w:before="80" w:after="80"/>
      </w:pPr>
      <w:r>
        <w:rPr>
          <w:b/>
          <w:bCs/>
        </w:rPr>
        <w:t xml:space="preserve">112 </w:t>
      </w:r>
      <w:r>
        <w:rPr>
          <w:b/>
          <w:bCs/>
        </w:rPr>
        <w:t>學年度數據</w:t>
      </w:r>
      <w:r>
        <w:t>：小一</w:t>
      </w:r>
      <w:r>
        <w:t xml:space="preserve"> 26.69%</w:t>
      </w:r>
      <w:r>
        <w:t>、小六</w:t>
      </w:r>
      <w:r>
        <w:t xml:space="preserve"> 62.99%</w:t>
      </w:r>
      <w:r>
        <w:t>、國三</w:t>
      </w:r>
      <w:r>
        <w:t xml:space="preserve"> 72.41%</w:t>
      </w:r>
      <w:r>
        <w:t>、高三</w:t>
      </w:r>
      <w:r>
        <w:t xml:space="preserve"> 81.61%</w:t>
      </w:r>
      <w:r>
        <w:t>（教育部國民及學前教育署，</w:t>
      </w:r>
      <w:r>
        <w:t>2024</w:t>
      </w:r>
      <w:r>
        <w:t>）。</w:t>
      </w:r>
    </w:p>
    <w:p w14:paraId="54D1EA04" w14:textId="77777777" w:rsidR="004C63FE" w:rsidRDefault="00000000">
      <w:pPr>
        <w:pStyle w:val="a4"/>
        <w:numPr>
          <w:ilvl w:val="0"/>
          <w:numId w:val="1"/>
        </w:numPr>
        <w:spacing w:before="80" w:after="80"/>
      </w:pPr>
      <w:r>
        <w:rPr>
          <w:b/>
          <w:bCs/>
        </w:rPr>
        <w:t>長期趨勢</w:t>
      </w:r>
      <w:r>
        <w:t>：小六視力不良率於</w:t>
      </w:r>
      <w:r>
        <w:t xml:space="preserve"> 2011 </w:t>
      </w:r>
      <w:r>
        <w:t>年達</w:t>
      </w:r>
      <w:r>
        <w:t xml:space="preserve"> 65.0% </w:t>
      </w:r>
      <w:r>
        <w:t>之歷史高峰；</w:t>
      </w:r>
      <w:r>
        <w:t xml:space="preserve">2005 </w:t>
      </w:r>
      <w:r>
        <w:t>至</w:t>
      </w:r>
      <w:r>
        <w:t xml:space="preserve"> 2011 </w:t>
      </w:r>
      <w:r>
        <w:t>年間，政策推動期間不良率反而惡化</w:t>
      </w:r>
      <w:r>
        <w:t xml:space="preserve"> 10.2%</w:t>
      </w:r>
      <w:r>
        <w:t>，其後緩步下降，但</w:t>
      </w:r>
      <w:r>
        <w:t xml:space="preserve"> 2024 </w:t>
      </w:r>
      <w:r>
        <w:t>年（</w:t>
      </w:r>
      <w:r>
        <w:t>62.99%</w:t>
      </w:r>
      <w:r>
        <w:t>）仍高於</w:t>
      </w:r>
      <w:r>
        <w:t xml:space="preserve"> 2005 </w:t>
      </w:r>
      <w:r>
        <w:t>年（</w:t>
      </w:r>
      <w:r>
        <w:t>54.8%</w:t>
      </w:r>
      <w:r>
        <w:t>）之水準（臺灣視光視力保健學會，</w:t>
      </w:r>
      <w:r>
        <w:t>2026</w:t>
      </w:r>
      <w:r>
        <w:t>，未發表手稿）。</w:t>
      </w:r>
    </w:p>
    <w:p w14:paraId="140B80FC" w14:textId="77777777" w:rsidR="004C63FE" w:rsidRDefault="00000000">
      <w:pPr>
        <w:pStyle w:val="a4"/>
        <w:numPr>
          <w:ilvl w:val="0"/>
          <w:numId w:val="1"/>
        </w:numPr>
        <w:spacing w:before="80" w:after="80"/>
      </w:pPr>
      <w:r>
        <w:rPr>
          <w:b/>
          <w:bCs/>
        </w:rPr>
        <w:t>高度近視危機</w:t>
      </w:r>
      <w:r>
        <w:t>：根據國民健康署</w:t>
      </w:r>
      <w:r>
        <w:t xml:space="preserve"> 106 </w:t>
      </w:r>
      <w:r>
        <w:t>年散瞳驗光調查，高中三年級已達高度近視（</w:t>
      </w:r>
      <w:r>
        <w:t xml:space="preserve">≥500 </w:t>
      </w:r>
      <w:r>
        <w:t>度）之比例為</w:t>
      </w:r>
      <w:r>
        <w:t xml:space="preserve"> 35.7%</w:t>
      </w:r>
      <w:r>
        <w:t>，此一族群將面臨終生視網膜剝離、黃斑部病變、青光眼等重大併發症風險（</w:t>
      </w:r>
      <w:r>
        <w:t>Flitcroft et al., 2019</w:t>
      </w:r>
      <w:r>
        <w:t>）。</w:t>
      </w:r>
    </w:p>
    <w:p w14:paraId="185FFBBF" w14:textId="77777777" w:rsidR="004C63FE" w:rsidRDefault="00000000">
      <w:pPr>
        <w:spacing w:before="120" w:after="120"/>
        <w:ind w:firstLine="576"/>
      </w:pPr>
      <w:r>
        <w:t>防治工作必須聚焦於「雙高峰失速點」：國小中年級的調節壓力期，以及國一的生理與升學壓力加速期（</w:t>
      </w:r>
      <w:r>
        <w:t>Zadnik et al., 2015</w:t>
      </w:r>
      <w:r>
        <w:t>）。</w:t>
      </w:r>
    </w:p>
    <w:p w14:paraId="35498AB4" w14:textId="77777777" w:rsidR="004C63FE" w:rsidRDefault="00000000">
      <w:pPr>
        <w:pStyle w:val="4"/>
        <w:spacing w:before="240" w:after="120"/>
      </w:pPr>
      <w:r>
        <w:t xml:space="preserve">2.1.2 </w:t>
      </w:r>
      <w:r>
        <w:t>現行轉介體系的結構性問題</w:t>
      </w:r>
    </w:p>
    <w:p w14:paraId="615AFDB2" w14:textId="77777777" w:rsidR="004C63FE" w:rsidRDefault="00000000">
      <w:pPr>
        <w:spacing w:before="120" w:after="120"/>
        <w:ind w:firstLine="576"/>
      </w:pPr>
      <w:r>
        <w:t>現行學童視力保健體系存在多重結構性問題。每學期開學後，學校大量發出視力檢查回條，造成眼科診所大排長龍，家長與學童動輒等待</w:t>
      </w:r>
      <w:r>
        <w:t xml:space="preserve"> 1–2 </w:t>
      </w:r>
      <w:r>
        <w:t>小時，醫</w:t>
      </w:r>
      <w:r>
        <w:lastRenderedPageBreak/>
        <w:t>師被迫壓縮看診時間至不足</w:t>
      </w:r>
      <w:r>
        <w:t xml:space="preserve"> 5 </w:t>
      </w:r>
      <w:r>
        <w:t>分鐘，無法提供完整視機能評估與衛教，真正需要眼科處理的眼疾個案反而被排擠（臺灣視光視力保健學會，</w:t>
      </w:r>
      <w:r>
        <w:t>2026</w:t>
      </w:r>
      <w:r>
        <w:t>，未發表手稿）。</w:t>
      </w:r>
    </w:p>
    <w:p w14:paraId="7AC37B7D" w14:textId="77777777" w:rsidR="004C63FE" w:rsidRDefault="00000000">
      <w:pPr>
        <w:spacing w:before="120" w:after="120"/>
        <w:ind w:firstLine="576"/>
      </w:pPr>
      <w:r>
        <w:t>此外，《驗光人員法》明定</w:t>
      </w:r>
      <w:r>
        <w:t xml:space="preserve"> 6 </w:t>
      </w:r>
      <w:r>
        <w:t>歲以下兒童驗光不得由驗光師執行，立法精神在於保護幼童；然診所現場卻常見由未具國考證照的人員操作驗光儀器，形成「法規最嚴、現場最鬆」的矛盾，使最需要專業評估的族群反而得到最不規範的服務（臺灣視光視力保健學會，</w:t>
      </w:r>
      <w:r>
        <w:t>2026</w:t>
      </w:r>
      <w:r>
        <w:t>，未發表手稿）。</w:t>
      </w:r>
    </w:p>
    <w:p w14:paraId="386564D8" w14:textId="77777777" w:rsidR="004C63FE" w:rsidRDefault="00000000">
      <w:pPr>
        <w:pStyle w:val="4"/>
        <w:spacing w:before="240" w:after="120"/>
      </w:pPr>
      <w:r>
        <w:t xml:space="preserve">2.1.3 </w:t>
      </w:r>
      <w:r>
        <w:t>國際比較：他山之石</w:t>
      </w:r>
    </w:p>
    <w:p w14:paraId="24DA84D1" w14:textId="77777777" w:rsidR="004C63FE" w:rsidRDefault="00000000">
      <w:pPr>
        <w:spacing w:before="120" w:after="120"/>
        <w:ind w:firstLine="576"/>
      </w:pPr>
      <w:r>
        <w:t>面對相近的近視流行困境，各國採取之策略與成效提供重要參照。</w:t>
      </w:r>
    </w:p>
    <w:p w14:paraId="6E26114D" w14:textId="77777777" w:rsidR="004C63FE" w:rsidRDefault="00000000">
      <w:pPr>
        <w:spacing w:before="120" w:after="120"/>
        <w:ind w:firstLine="576"/>
      </w:pPr>
      <w:r>
        <w:rPr>
          <w:b/>
          <w:bCs/>
        </w:rPr>
        <w:t>新加坡</w:t>
      </w:r>
      <w:r>
        <w:t>於</w:t>
      </w:r>
      <w:r>
        <w:t xml:space="preserve"> 2001 </w:t>
      </w:r>
      <w:r>
        <w:t>年啟動「國家近視預防計畫（</w:t>
      </w:r>
      <w:r>
        <w:t xml:space="preserve">National Myopia Prevention </w:t>
      </w:r>
      <w:proofErr w:type="spellStart"/>
      <w:r>
        <w:t>Programme</w:t>
      </w:r>
      <w:proofErr w:type="spellEnd"/>
      <w:r>
        <w:t>, NMPP</w:t>
      </w:r>
      <w:r>
        <w:t>）」，採「戶外活動推廣</w:t>
      </w:r>
      <w:r>
        <w:t xml:space="preserve"> + </w:t>
      </w:r>
      <w:r>
        <w:t>學校視力篩檢</w:t>
      </w:r>
      <w:r>
        <w:t xml:space="preserve"> + </w:t>
      </w:r>
      <w:r>
        <w:t>低濃度阿托品」三軌並行之策略，並由健康促進局（</w:t>
      </w:r>
      <w:r>
        <w:t>HPB</w:t>
      </w:r>
      <w:r>
        <w:t>）統籌學校、家庭與社區資源（</w:t>
      </w:r>
      <w:r>
        <w:t>Chia et al., 2016</w:t>
      </w:r>
      <w:r>
        <w:t>）。執行成果顯示，</w:t>
      </w:r>
      <w:r>
        <w:t xml:space="preserve">2004 </w:t>
      </w:r>
      <w:r>
        <w:t>至</w:t>
      </w:r>
      <w:r>
        <w:t xml:space="preserve"> 2015 </w:t>
      </w:r>
      <w:r>
        <w:t>年間，</w:t>
      </w:r>
      <w:r>
        <w:t xml:space="preserve">12 </w:t>
      </w:r>
      <w:r>
        <w:t>所哨兵小學的近視盛行率從</w:t>
      </w:r>
      <w:r>
        <w:t xml:space="preserve"> 37.7% </w:t>
      </w:r>
      <w:r>
        <w:t>降至</w:t>
      </w:r>
      <w:r>
        <w:t xml:space="preserve"> 31.6%</w:t>
      </w:r>
      <w:r>
        <w:t>（</w:t>
      </w:r>
      <w:r>
        <w:t>p &lt; 0.05</w:t>
      </w:r>
      <w:r>
        <w:t>）；至</w:t>
      </w:r>
      <w:r>
        <w:t xml:space="preserve"> 2023 </w:t>
      </w:r>
      <w:r>
        <w:t>年，小一生近視率已穩定維持在</w:t>
      </w:r>
      <w:r>
        <w:t xml:space="preserve"> 26%</w:t>
      </w:r>
      <w:r>
        <w:t>，達成「低於</w:t>
      </w:r>
      <w:r>
        <w:t xml:space="preserve"> 30%</w:t>
      </w:r>
      <w:r>
        <w:t>」之政策目標（</w:t>
      </w:r>
      <w:r>
        <w:t>Singapore Ministry of Health, 2024</w:t>
      </w:r>
      <w:r>
        <w:t>）。此一成效說明系統性跨部門合作搭配實證策略的可行性。</w:t>
      </w:r>
    </w:p>
    <w:p w14:paraId="4572ACD6" w14:textId="77777777" w:rsidR="004C63FE" w:rsidRDefault="00000000">
      <w:pPr>
        <w:spacing w:before="120" w:after="120"/>
        <w:ind w:firstLine="576"/>
      </w:pPr>
      <w:r>
        <w:rPr>
          <w:b/>
          <w:bCs/>
        </w:rPr>
        <w:t>日本</w:t>
      </w:r>
      <w:r>
        <w:t>則提供了教育壓力與近視的政策實驗案例。</w:t>
      </w:r>
      <w:r>
        <w:t xml:space="preserve">2002 </w:t>
      </w:r>
      <w:r>
        <w:t>年起推行「寬裕教育（</w:t>
      </w:r>
      <w:proofErr w:type="spellStart"/>
      <w:r>
        <w:t>Yutori</w:t>
      </w:r>
      <w:proofErr w:type="spellEnd"/>
      <w:r>
        <w:t>）」政策，減少課堂時數並實施週休二日；研究顯示，高壓教育期間高度近視盛行率顯著增加（</w:t>
      </w:r>
      <w:r>
        <w:t>p &lt; 0.001</w:t>
      </w:r>
      <w:r>
        <w:t>），而寬裕教育期間近視進展趨緩，顯示升學壓力與近距離用眼負荷是近視惡化的重要環境驅動因子（</w:t>
      </w:r>
      <w:proofErr w:type="spellStart"/>
      <w:r>
        <w:t>Ishiko</w:t>
      </w:r>
      <w:proofErr w:type="spellEnd"/>
      <w:r>
        <w:t xml:space="preserve"> et al., 2021</w:t>
      </w:r>
      <w:r>
        <w:t>）。</w:t>
      </w:r>
    </w:p>
    <w:p w14:paraId="5B5D5CF1" w14:textId="77777777" w:rsidR="004C63FE" w:rsidRDefault="00000000">
      <w:pPr>
        <w:spacing w:before="120" w:after="120"/>
        <w:ind w:firstLine="576"/>
      </w:pPr>
      <w:r>
        <w:t>與上述國際案例相較，台灣的近視防治策略長期偏向單一藥物介入，環境改善與跨部門合作明顯不足，亦缺乏類似新加坡</w:t>
      </w:r>
      <w:r>
        <w:t xml:space="preserve"> NMPP </w:t>
      </w:r>
      <w:r>
        <w:t>的全國性整合機制；離島地區資源匱乏的問題，更是現行體制難以觸及之盲點。</w:t>
      </w:r>
    </w:p>
    <w:p w14:paraId="27C3632B" w14:textId="77777777" w:rsidR="004C63FE" w:rsidRDefault="00000000">
      <w:pPr>
        <w:pStyle w:val="4"/>
        <w:spacing w:before="240" w:after="120"/>
      </w:pPr>
      <w:r>
        <w:t xml:space="preserve">2.1.4 </w:t>
      </w:r>
      <w:r>
        <w:t>離島地區：公衛資源不平等的實證</w:t>
      </w:r>
    </w:p>
    <w:p w14:paraId="0DC02564" w14:textId="77777777" w:rsidR="004C63FE" w:rsidRDefault="00000000">
      <w:pPr>
        <w:spacing w:before="120" w:after="120"/>
        <w:ind w:firstLine="576"/>
      </w:pPr>
      <w:r>
        <w:lastRenderedPageBreak/>
        <w:t>連江縣</w:t>
      </w:r>
      <w:r>
        <w:t xml:space="preserve"> 113 </w:t>
      </w:r>
      <w:r>
        <w:t>學年度國中端視力不良率達</w:t>
      </w:r>
      <w:r>
        <w:t xml:space="preserve"> 71.21%</w:t>
      </w:r>
      <w:r>
        <w:t>（連江縣教育處，</w:t>
      </w:r>
      <w:r>
        <w:t>2024</w:t>
      </w:r>
      <w:r>
        <w:t>），與本島都會區無異。但在醫療資源可近性上，離島學童面臨嚴峻挑戰，基礎篩檢與精確屈光測量成為奢侈。連江縣敬恆國中小訓導組長陳庭羽曾表示，離島地區缺乏眼鏡行，學生就算知道視力不好，也難以取得眼鏡，矯正視力與延緩度數加深均面臨實質障礙（馬祖日報，</w:t>
      </w:r>
      <w:r>
        <w:t>2021</w:t>
      </w:r>
      <w:r>
        <w:t>）。</w:t>
      </w:r>
    </w:p>
    <w:p w14:paraId="1F672CB8" w14:textId="77777777" w:rsidR="004C63FE" w:rsidRDefault="00000000">
      <w:pPr>
        <w:pStyle w:val="3"/>
        <w:spacing w:before="280" w:after="140"/>
      </w:pPr>
      <w:r>
        <w:t xml:space="preserve">2.2 </w:t>
      </w:r>
      <w:r>
        <w:t>學童視力治療與矯正</w:t>
      </w:r>
      <w:r>
        <w:t xml:space="preserve"> ── </w:t>
      </w:r>
      <w:r>
        <w:t>臺灣視光視力保健學會</w:t>
      </w:r>
      <w:r>
        <w:t xml:space="preserve"> </w:t>
      </w:r>
      <w:r>
        <w:t>執筆</w:t>
      </w:r>
    </w:p>
    <w:p w14:paraId="542B5BF2" w14:textId="77777777" w:rsidR="004C63FE" w:rsidRDefault="00000000">
      <w:pPr>
        <w:pStyle w:val="4"/>
        <w:spacing w:before="240" w:after="120"/>
      </w:pPr>
      <w:r>
        <w:t xml:space="preserve">2.2.1 </w:t>
      </w:r>
      <w:r>
        <w:t>矯正核心原則：足度全矯正與完整視機能評估</w:t>
      </w:r>
    </w:p>
    <w:p w14:paraId="1E73293C" w14:textId="77777777" w:rsidR="004C63FE" w:rsidRDefault="00000000">
      <w:pPr>
        <w:spacing w:before="120" w:after="120"/>
        <w:ind w:firstLine="576"/>
      </w:pPr>
      <w:r>
        <w:t>本會強調，近視管理不應跳過「基礎矯正」。對於初次發現近視或度數穩定的學童，足度矯正的單焦點鏡片（</w:t>
      </w:r>
      <w:r>
        <w:t>Single Vision Lens, SVL</w:t>
      </w:r>
      <w:r>
        <w:t>）是第一線標準處置，其核心作用在於消除視網膜模糊、建立清晰成像環境（臺灣視光視力保健學會，</w:t>
      </w:r>
      <w:r>
        <w:t>2026</w:t>
      </w:r>
      <w:r>
        <w:t>，未發表手稿）。</w:t>
      </w:r>
    </w:p>
    <w:p w14:paraId="43019FDD" w14:textId="77777777" w:rsidR="004C63FE" w:rsidRDefault="00000000">
      <w:pPr>
        <w:spacing w:before="120" w:after="120"/>
        <w:ind w:firstLine="576"/>
      </w:pPr>
      <w:r>
        <w:t>基於</w:t>
      </w:r>
      <w:r>
        <w:t xml:space="preserve"> IMI </w:t>
      </w:r>
      <w:r>
        <w:t>臨床管理指引（</w:t>
      </w:r>
      <w:r>
        <w:t>Gifford et al., 2019</w:t>
      </w:r>
      <w:r>
        <w:t>）與</w:t>
      </w:r>
      <w:r>
        <w:t xml:space="preserve"> LAMP </w:t>
      </w:r>
      <w:r>
        <w:t>研究（</w:t>
      </w:r>
      <w:r>
        <w:t>Yam et al., 2019</w:t>
      </w:r>
      <w:r>
        <w:t>），散瞳劑療效必須建立在「足度全矯正（</w:t>
      </w:r>
      <w:r>
        <w:t>Full Correction</w:t>
      </w:r>
      <w:r>
        <w:t>）」基礎上。未足度矯正所造成的視網膜模糊影像（</w:t>
      </w:r>
      <w:r>
        <w:t>Blur</w:t>
      </w:r>
      <w:r>
        <w:t>）會誘發眼球內部訊號傳遞，最終刺激鞏膜重塑與眼軸增長（</w:t>
      </w:r>
      <w:r>
        <w:t>Wallman &amp; Winawer, 2004</w:t>
      </w:r>
      <w:r>
        <w:t>），直接抵消藥物抑制效果。欠矯正已被多項研究確認可能加速近視進展，不建議作為控制策略。</w:t>
      </w:r>
    </w:p>
    <w:p w14:paraId="305EBC8D" w14:textId="77777777" w:rsidR="004C63FE" w:rsidRDefault="00000000">
      <w:pPr>
        <w:spacing w:before="120" w:after="120"/>
        <w:ind w:firstLine="576"/>
      </w:pPr>
      <w:r>
        <w:t>完整的驗光評估不應僅靠電腦驗光機打一張單據，而應包含：電腦驗光（初步參考值）、主觀綜合驗光（精確度數）、調節力評估（調節幅度、調節靈活度、調節滯後），以及雙眼協調評估（眼位、融像範圍、立體視）。散光</w:t>
      </w:r>
      <w:r>
        <w:t xml:space="preserve">≥0.75D </w:t>
      </w:r>
      <w:r>
        <w:t>者應精準矯正，不可為簡化處方而依賴等價球面（</w:t>
      </w:r>
      <w:r>
        <w:t>Spherical Equivalent, SE</w:t>
      </w:r>
      <w:r>
        <w:t>）換算，以免視網膜成像仍殘留模糊，影響視覺發育（臺灣視光視力保健學會，</w:t>
      </w:r>
      <w:r>
        <w:t>2026</w:t>
      </w:r>
      <w:r>
        <w:t>，未發表手稿）。</w:t>
      </w:r>
    </w:p>
    <w:p w14:paraId="3D7429D7" w14:textId="77777777" w:rsidR="004C63FE" w:rsidRDefault="00000000">
      <w:pPr>
        <w:pStyle w:val="4"/>
        <w:spacing w:before="240" w:after="120"/>
      </w:pPr>
      <w:r>
        <w:t xml:space="preserve">2.2.2 </w:t>
      </w:r>
      <w:r>
        <w:t>階梯式近視管理策略</w:t>
      </w:r>
    </w:p>
    <w:p w14:paraId="2C75F4EC" w14:textId="77777777" w:rsidR="004C63FE" w:rsidRDefault="00000000">
      <w:pPr>
        <w:spacing w:before="120" w:after="120"/>
        <w:ind w:firstLine="576"/>
      </w:pPr>
      <w:r>
        <w:t>本會主張採「先光學、後藥物」的四階梯式策略，以副作用最小的方式優</w:t>
      </w:r>
      <w:r>
        <w:lastRenderedPageBreak/>
        <w:t>先介入，不應在未評估基線進展速度的情況下直接推薦高價控制方案（臺灣視光視力保健學會，</w:t>
      </w:r>
      <w:r>
        <w:t>2026</w:t>
      </w:r>
      <w:r>
        <w:t>，未發表手稿）。</w:t>
      </w:r>
    </w:p>
    <w:p w14:paraId="4441D714" w14:textId="77777777" w:rsidR="004C63FE" w:rsidRDefault="00000000">
      <w:pPr>
        <w:spacing w:before="120" w:after="120"/>
        <w:ind w:firstLine="576"/>
      </w:pPr>
      <w:r>
        <w:rPr>
          <w:b/>
          <w:bCs/>
        </w:rPr>
        <w:t>第一階：行為與環境介入（基礎）</w:t>
      </w:r>
    </w:p>
    <w:p w14:paraId="2CE4EFD6" w14:textId="77777777" w:rsidR="004C63FE" w:rsidRDefault="00000000">
      <w:pPr>
        <w:spacing w:before="120" w:after="120"/>
        <w:ind w:firstLine="576"/>
      </w:pPr>
      <w:r>
        <w:t>戶外活動是目前證據等級最高（</w:t>
      </w:r>
      <w:r>
        <w:t xml:space="preserve">A </w:t>
      </w:r>
      <w:r>
        <w:t>級）的近視預防策略。</w:t>
      </w:r>
      <w:r>
        <w:t xml:space="preserve">Xiong </w:t>
      </w:r>
      <w:r>
        <w:t>等人（</w:t>
      </w:r>
      <w:r>
        <w:t>2017</w:t>
      </w:r>
      <w:r>
        <w:t>）之統合分析（</w:t>
      </w:r>
      <w:r>
        <w:t>n &gt; 49,000</w:t>
      </w:r>
      <w:r>
        <w:t>）顯示，戶外活動可減少</w:t>
      </w:r>
      <w:r>
        <w:t xml:space="preserve"> 46% </w:t>
      </w:r>
      <w:r>
        <w:t>的新發近視（</w:t>
      </w:r>
      <w:r>
        <w:t>RR = 0.54</w:t>
      </w:r>
      <w:r>
        <w:t>）。建議每天至少</w:t>
      </w:r>
      <w:r>
        <w:t xml:space="preserve"> 2 </w:t>
      </w:r>
      <w:r>
        <w:t>小時、可累計計算。同時應落實</w:t>
      </w:r>
      <w:r>
        <w:t xml:space="preserve"> 3010 </w:t>
      </w:r>
      <w:r>
        <w:t>原則（近距離用眼</w:t>
      </w:r>
      <w:r>
        <w:t xml:space="preserve"> 30 </w:t>
      </w:r>
      <w:r>
        <w:t>分鐘休息</w:t>
      </w:r>
      <w:r>
        <w:t xml:space="preserve"> 10 </w:t>
      </w:r>
      <w:r>
        <w:t>分鐘）、維持</w:t>
      </w:r>
      <w:r>
        <w:t xml:space="preserve"> 35–40 </w:t>
      </w:r>
      <w:r>
        <w:t>公分之閱讀距離。</w:t>
      </w:r>
    </w:p>
    <w:p w14:paraId="65D1A8DA" w14:textId="77777777" w:rsidR="004C63FE" w:rsidRDefault="00000000">
      <w:pPr>
        <w:spacing w:before="120" w:after="120"/>
        <w:ind w:firstLine="576"/>
      </w:pPr>
      <w:r>
        <w:rPr>
          <w:b/>
          <w:bCs/>
        </w:rPr>
        <w:t>第二階：光學介入（優先）</w:t>
      </w:r>
    </w:p>
    <w:p w14:paraId="3747914E" w14:textId="77777777" w:rsidR="004C63FE" w:rsidRDefault="00000000">
      <w:pPr>
        <w:spacing w:before="120" w:after="120"/>
        <w:ind w:firstLine="576"/>
      </w:pPr>
      <w:r>
        <w:t>配戴單焦點鏡片後，本會建議設定「</w:t>
      </w:r>
      <w:r>
        <w:t xml:space="preserve">3 </w:t>
      </w:r>
      <w:r>
        <w:t>個月黃金追蹤期」，以確認矯正效果與度數進展速度（本學會臨床實務準則），判斷標準如下：</w:t>
      </w:r>
    </w:p>
    <w:tbl>
      <w:tblPr>
        <w:tblW w:w="5000" w:type="pct"/>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CellMar>
          <w:left w:w="10" w:type="dxa"/>
          <w:right w:w="10" w:type="dxa"/>
        </w:tblCellMar>
        <w:tblLook w:val="04A0" w:firstRow="1" w:lastRow="0" w:firstColumn="1" w:lastColumn="0" w:noHBand="0" w:noVBand="1"/>
      </w:tblPr>
      <w:tblGrid>
        <w:gridCol w:w="2712"/>
        <w:gridCol w:w="1353"/>
        <w:gridCol w:w="4239"/>
      </w:tblGrid>
      <w:tr w:rsidR="004C63FE" w14:paraId="02ED0615" w14:textId="77777777">
        <w:tblPrEx>
          <w:tblCellMar>
            <w:top w:w="0" w:type="dxa"/>
            <w:bottom w:w="0" w:type="dxa"/>
          </w:tblCellMar>
        </w:tblPrEx>
        <w:trPr>
          <w:tblHeader/>
        </w:trPr>
        <w:tc>
          <w:tcPr>
            <w:tcW w:w="0" w:type="auto"/>
            <w:shd w:val="clear" w:color="auto" w:fill="D9E2F3"/>
            <w:vAlign w:val="center"/>
          </w:tcPr>
          <w:p w14:paraId="4F9E3C92" w14:textId="77777777" w:rsidR="004C63FE" w:rsidRDefault="00000000">
            <w:pPr>
              <w:spacing w:before="40" w:after="40"/>
              <w:jc w:val="center"/>
            </w:pPr>
            <w:r>
              <w:rPr>
                <w:b/>
                <w:bCs/>
                <w:sz w:val="20"/>
                <w:szCs w:val="20"/>
              </w:rPr>
              <w:t xml:space="preserve">3 </w:t>
            </w:r>
            <w:r>
              <w:rPr>
                <w:b/>
                <w:bCs/>
                <w:sz w:val="20"/>
                <w:szCs w:val="20"/>
              </w:rPr>
              <w:t>個月追蹤結果</w:t>
            </w:r>
          </w:p>
        </w:tc>
        <w:tc>
          <w:tcPr>
            <w:tcW w:w="0" w:type="auto"/>
            <w:shd w:val="clear" w:color="auto" w:fill="D9E2F3"/>
            <w:vAlign w:val="center"/>
          </w:tcPr>
          <w:p w14:paraId="048681B6" w14:textId="77777777" w:rsidR="004C63FE" w:rsidRDefault="00000000">
            <w:pPr>
              <w:spacing w:before="40" w:after="40"/>
              <w:jc w:val="center"/>
            </w:pPr>
            <w:r>
              <w:rPr>
                <w:b/>
                <w:bCs/>
                <w:sz w:val="20"/>
                <w:szCs w:val="20"/>
              </w:rPr>
              <w:t>判斷</w:t>
            </w:r>
          </w:p>
        </w:tc>
        <w:tc>
          <w:tcPr>
            <w:tcW w:w="0" w:type="auto"/>
            <w:shd w:val="clear" w:color="auto" w:fill="D9E2F3"/>
            <w:vAlign w:val="center"/>
          </w:tcPr>
          <w:p w14:paraId="372AE056" w14:textId="77777777" w:rsidR="004C63FE" w:rsidRDefault="00000000">
            <w:pPr>
              <w:spacing w:before="40" w:after="40"/>
              <w:jc w:val="center"/>
            </w:pPr>
            <w:r>
              <w:rPr>
                <w:b/>
                <w:bCs/>
                <w:sz w:val="20"/>
                <w:szCs w:val="20"/>
              </w:rPr>
              <w:t>建議處置</w:t>
            </w:r>
          </w:p>
        </w:tc>
      </w:tr>
      <w:tr w:rsidR="004C63FE" w14:paraId="204CB1DC" w14:textId="77777777">
        <w:tblPrEx>
          <w:tblCellMar>
            <w:top w:w="0" w:type="dxa"/>
            <w:bottom w:w="0" w:type="dxa"/>
          </w:tblCellMar>
        </w:tblPrEx>
        <w:tc>
          <w:tcPr>
            <w:tcW w:w="0" w:type="auto"/>
            <w:shd w:val="clear" w:color="auto" w:fill="F2F2F2"/>
            <w:vAlign w:val="center"/>
          </w:tcPr>
          <w:p w14:paraId="5A0F0801" w14:textId="77777777" w:rsidR="004C63FE" w:rsidRDefault="00000000">
            <w:pPr>
              <w:spacing w:before="30" w:after="30"/>
            </w:pPr>
            <w:r>
              <w:rPr>
                <w:sz w:val="20"/>
                <w:szCs w:val="20"/>
              </w:rPr>
              <w:t>度數增加</w:t>
            </w:r>
            <w:r>
              <w:rPr>
                <w:sz w:val="20"/>
                <w:szCs w:val="20"/>
              </w:rPr>
              <w:t xml:space="preserve"> &lt; 25 </w:t>
            </w:r>
            <w:r>
              <w:rPr>
                <w:sz w:val="20"/>
                <w:szCs w:val="20"/>
              </w:rPr>
              <w:t>度</w:t>
            </w:r>
          </w:p>
        </w:tc>
        <w:tc>
          <w:tcPr>
            <w:tcW w:w="0" w:type="auto"/>
            <w:shd w:val="clear" w:color="auto" w:fill="F2F2F2"/>
            <w:vAlign w:val="center"/>
          </w:tcPr>
          <w:p w14:paraId="0DB2E6EF" w14:textId="77777777" w:rsidR="004C63FE" w:rsidRDefault="00000000">
            <w:pPr>
              <w:spacing w:before="30" w:after="30"/>
            </w:pPr>
            <w:r>
              <w:rPr>
                <w:sz w:val="20"/>
                <w:szCs w:val="20"/>
              </w:rPr>
              <w:t>穩定</w:t>
            </w:r>
          </w:p>
        </w:tc>
        <w:tc>
          <w:tcPr>
            <w:tcW w:w="0" w:type="auto"/>
            <w:shd w:val="clear" w:color="auto" w:fill="F2F2F2"/>
            <w:vAlign w:val="center"/>
          </w:tcPr>
          <w:p w14:paraId="23521DC4" w14:textId="77777777" w:rsidR="004C63FE" w:rsidRDefault="00000000">
            <w:pPr>
              <w:spacing w:before="30" w:after="30"/>
            </w:pPr>
            <w:r>
              <w:rPr>
                <w:sz w:val="20"/>
                <w:szCs w:val="20"/>
              </w:rPr>
              <w:t>繼續單焦點，</w:t>
            </w:r>
            <w:r>
              <w:rPr>
                <w:sz w:val="20"/>
                <w:szCs w:val="20"/>
              </w:rPr>
              <w:t xml:space="preserve">6 </w:t>
            </w:r>
            <w:r>
              <w:rPr>
                <w:sz w:val="20"/>
                <w:szCs w:val="20"/>
              </w:rPr>
              <w:t>個月後追蹤</w:t>
            </w:r>
          </w:p>
        </w:tc>
      </w:tr>
      <w:tr w:rsidR="004C63FE" w14:paraId="183B6EFA" w14:textId="77777777">
        <w:tblPrEx>
          <w:tblCellMar>
            <w:top w:w="0" w:type="dxa"/>
            <w:bottom w:w="0" w:type="dxa"/>
          </w:tblCellMar>
        </w:tblPrEx>
        <w:tc>
          <w:tcPr>
            <w:tcW w:w="0" w:type="auto"/>
            <w:vAlign w:val="center"/>
          </w:tcPr>
          <w:p w14:paraId="39500D9A" w14:textId="77777777" w:rsidR="004C63FE" w:rsidRDefault="00000000">
            <w:pPr>
              <w:spacing w:before="30" w:after="30"/>
            </w:pPr>
            <w:r>
              <w:rPr>
                <w:sz w:val="20"/>
                <w:szCs w:val="20"/>
              </w:rPr>
              <w:t>度數增加</w:t>
            </w:r>
            <w:r>
              <w:rPr>
                <w:sz w:val="20"/>
                <w:szCs w:val="20"/>
              </w:rPr>
              <w:t xml:space="preserve"> 25–50 </w:t>
            </w:r>
            <w:r>
              <w:rPr>
                <w:sz w:val="20"/>
                <w:szCs w:val="20"/>
              </w:rPr>
              <w:t>度</w:t>
            </w:r>
          </w:p>
        </w:tc>
        <w:tc>
          <w:tcPr>
            <w:tcW w:w="0" w:type="auto"/>
            <w:vAlign w:val="center"/>
          </w:tcPr>
          <w:p w14:paraId="4F26AE20" w14:textId="77777777" w:rsidR="004C63FE" w:rsidRDefault="00000000">
            <w:pPr>
              <w:spacing w:before="30" w:after="30"/>
            </w:pPr>
            <w:r>
              <w:rPr>
                <w:sz w:val="20"/>
                <w:szCs w:val="20"/>
              </w:rPr>
              <w:t>邊緣</w:t>
            </w:r>
          </w:p>
        </w:tc>
        <w:tc>
          <w:tcPr>
            <w:tcW w:w="0" w:type="auto"/>
            <w:vAlign w:val="center"/>
          </w:tcPr>
          <w:p w14:paraId="19F2F205" w14:textId="77777777" w:rsidR="004C63FE" w:rsidRDefault="00000000">
            <w:pPr>
              <w:spacing w:before="30" w:after="30"/>
            </w:pPr>
            <w:r>
              <w:rPr>
                <w:sz w:val="20"/>
                <w:szCs w:val="20"/>
              </w:rPr>
              <w:t>加強行為控制，</w:t>
            </w:r>
            <w:r>
              <w:rPr>
                <w:sz w:val="20"/>
                <w:szCs w:val="20"/>
              </w:rPr>
              <w:t xml:space="preserve">3 </w:t>
            </w:r>
            <w:r>
              <w:rPr>
                <w:sz w:val="20"/>
                <w:szCs w:val="20"/>
              </w:rPr>
              <w:t>個月再追蹤</w:t>
            </w:r>
          </w:p>
        </w:tc>
      </w:tr>
      <w:tr w:rsidR="004C63FE" w14:paraId="3E7B3103" w14:textId="77777777">
        <w:tblPrEx>
          <w:tblCellMar>
            <w:top w:w="0" w:type="dxa"/>
            <w:bottom w:w="0" w:type="dxa"/>
          </w:tblCellMar>
        </w:tblPrEx>
        <w:tc>
          <w:tcPr>
            <w:tcW w:w="0" w:type="auto"/>
            <w:shd w:val="clear" w:color="auto" w:fill="F2F2F2"/>
            <w:vAlign w:val="center"/>
          </w:tcPr>
          <w:p w14:paraId="3B1D3966" w14:textId="77777777" w:rsidR="004C63FE" w:rsidRDefault="00000000">
            <w:pPr>
              <w:spacing w:before="30" w:after="30"/>
            </w:pPr>
            <w:r>
              <w:rPr>
                <w:sz w:val="20"/>
                <w:szCs w:val="20"/>
              </w:rPr>
              <w:t>度數增加</w:t>
            </w:r>
            <w:r>
              <w:rPr>
                <w:sz w:val="20"/>
                <w:szCs w:val="20"/>
              </w:rPr>
              <w:t xml:space="preserve"> &gt; 50 </w:t>
            </w:r>
            <w:r>
              <w:rPr>
                <w:sz w:val="20"/>
                <w:szCs w:val="20"/>
              </w:rPr>
              <w:t>度</w:t>
            </w:r>
          </w:p>
        </w:tc>
        <w:tc>
          <w:tcPr>
            <w:tcW w:w="0" w:type="auto"/>
            <w:shd w:val="clear" w:color="auto" w:fill="F2F2F2"/>
            <w:vAlign w:val="center"/>
          </w:tcPr>
          <w:p w14:paraId="6B2FC9F4" w14:textId="77777777" w:rsidR="004C63FE" w:rsidRDefault="00000000">
            <w:pPr>
              <w:spacing w:before="30" w:after="30"/>
            </w:pPr>
            <w:r>
              <w:rPr>
                <w:sz w:val="20"/>
                <w:szCs w:val="20"/>
              </w:rPr>
              <w:t>快速進展</w:t>
            </w:r>
          </w:p>
        </w:tc>
        <w:tc>
          <w:tcPr>
            <w:tcW w:w="0" w:type="auto"/>
            <w:shd w:val="clear" w:color="auto" w:fill="F2F2F2"/>
            <w:vAlign w:val="center"/>
          </w:tcPr>
          <w:p w14:paraId="236395EC" w14:textId="77777777" w:rsidR="004C63FE" w:rsidRDefault="00000000">
            <w:pPr>
              <w:spacing w:before="30" w:after="30"/>
            </w:pPr>
            <w:r>
              <w:rPr>
                <w:sz w:val="20"/>
                <w:szCs w:val="20"/>
              </w:rPr>
              <w:t>升級為近視控制方案</w:t>
            </w:r>
          </w:p>
        </w:tc>
      </w:tr>
      <w:tr w:rsidR="004C63FE" w14:paraId="3BCE90E1" w14:textId="77777777">
        <w:tblPrEx>
          <w:tblCellMar>
            <w:top w:w="0" w:type="dxa"/>
            <w:bottom w:w="0" w:type="dxa"/>
          </w:tblCellMar>
        </w:tblPrEx>
        <w:tc>
          <w:tcPr>
            <w:tcW w:w="0" w:type="auto"/>
            <w:vAlign w:val="center"/>
          </w:tcPr>
          <w:p w14:paraId="1714155C" w14:textId="77777777" w:rsidR="004C63FE" w:rsidRDefault="00000000">
            <w:pPr>
              <w:spacing w:before="30" w:after="30"/>
            </w:pPr>
            <w:r>
              <w:rPr>
                <w:sz w:val="20"/>
                <w:szCs w:val="20"/>
              </w:rPr>
              <w:t>眼軸增長</w:t>
            </w:r>
            <w:r>
              <w:rPr>
                <w:sz w:val="20"/>
                <w:szCs w:val="20"/>
              </w:rPr>
              <w:t xml:space="preserve"> &gt; 0.1 mm</w:t>
            </w:r>
          </w:p>
        </w:tc>
        <w:tc>
          <w:tcPr>
            <w:tcW w:w="0" w:type="auto"/>
            <w:vAlign w:val="center"/>
          </w:tcPr>
          <w:p w14:paraId="78843905" w14:textId="77777777" w:rsidR="004C63FE" w:rsidRDefault="00000000">
            <w:pPr>
              <w:spacing w:before="30" w:after="30"/>
            </w:pPr>
            <w:r>
              <w:rPr>
                <w:sz w:val="20"/>
                <w:szCs w:val="20"/>
              </w:rPr>
              <w:t>警戒</w:t>
            </w:r>
          </w:p>
        </w:tc>
        <w:tc>
          <w:tcPr>
            <w:tcW w:w="0" w:type="auto"/>
            <w:vAlign w:val="center"/>
          </w:tcPr>
          <w:p w14:paraId="038C636A" w14:textId="77777777" w:rsidR="004C63FE" w:rsidRDefault="00000000">
            <w:pPr>
              <w:spacing w:before="30" w:after="30"/>
            </w:pPr>
            <w:r>
              <w:rPr>
                <w:sz w:val="20"/>
                <w:szCs w:val="20"/>
              </w:rPr>
              <w:t>評估升級處置</w:t>
            </w:r>
          </w:p>
        </w:tc>
      </w:tr>
    </w:tbl>
    <w:p w14:paraId="7E98EA7E" w14:textId="77777777" w:rsidR="004C63FE" w:rsidRDefault="004C63FE">
      <w:pPr>
        <w:spacing w:after="160"/>
      </w:pPr>
    </w:p>
    <w:p w14:paraId="4B68CD0C" w14:textId="77777777" w:rsidR="004C63FE" w:rsidRDefault="00000000">
      <w:pPr>
        <w:spacing w:before="120" w:after="120"/>
        <w:ind w:firstLine="576"/>
      </w:pPr>
      <w:r>
        <w:t>光學控制選項方面，角膜塑型（</w:t>
      </w:r>
      <w:r>
        <w:t>Orthokeratology, Ortho-K</w:t>
      </w:r>
      <w:r>
        <w:t>）在兩年隨機對照試驗中顯示可減緩眼軸增長約</w:t>
      </w:r>
      <w:r>
        <w:t xml:space="preserve"> 40–60%</w:t>
      </w:r>
      <w:r>
        <w:t>（</w:t>
      </w:r>
      <w:r>
        <w:t>Cho &amp; Cheung, 2012</w:t>
      </w:r>
      <w:r>
        <w:t>；</w:t>
      </w:r>
      <w:r>
        <w:t>Jakobsen &amp; Møller, 2021</w:t>
      </w:r>
      <w:r>
        <w:t>）；周邊離焦眼鏡如</w:t>
      </w:r>
      <w:r>
        <w:t xml:space="preserve"> DIMS </w:t>
      </w:r>
      <w:r>
        <w:t>適合不願配戴隱形眼鏡者，三年追蹤研究顯示可減緩近視進展約</w:t>
      </w:r>
      <w:r>
        <w:t xml:space="preserve"> 52%</w:t>
      </w:r>
      <w:r>
        <w:t>（</w:t>
      </w:r>
      <w:r>
        <w:t>Lam et al., 2020</w:t>
      </w:r>
      <w:r>
        <w:t>；</w:t>
      </w:r>
      <w:r>
        <w:t>2023</w:t>
      </w:r>
      <w:r>
        <w:t>）。配戴</w:t>
      </w:r>
      <w:r>
        <w:t xml:space="preserve"> Ortho-K </w:t>
      </w:r>
      <w:r>
        <w:t>之學童，每年宜安排停戴期（</w:t>
      </w:r>
      <w:r>
        <w:t>Washout</w:t>
      </w:r>
      <w:r>
        <w:t>，至少</w:t>
      </w:r>
      <w:r>
        <w:t xml:space="preserve"> 2–4 </w:t>
      </w:r>
      <w:r>
        <w:t>週），待角膜完全回彈後進行完整屈光評估，以掌握真實進展全貌（臺灣視光視力保健學會，</w:t>
      </w:r>
      <w:r>
        <w:t>2026</w:t>
      </w:r>
      <w:r>
        <w:t>，未發表手稿）。</w:t>
      </w:r>
    </w:p>
    <w:p w14:paraId="0E8F2725" w14:textId="77777777" w:rsidR="004C63FE" w:rsidRDefault="00000000">
      <w:pPr>
        <w:spacing w:before="120" w:after="120"/>
        <w:ind w:firstLine="576"/>
      </w:pPr>
      <w:r>
        <w:rPr>
          <w:b/>
          <w:bCs/>
        </w:rPr>
        <w:t>第三階：藥物介入（升級）</w:t>
      </w:r>
    </w:p>
    <w:p w14:paraId="24DD6B7E" w14:textId="77777777" w:rsidR="004C63FE" w:rsidRDefault="00000000">
      <w:pPr>
        <w:spacing w:before="120" w:after="120"/>
        <w:ind w:firstLine="576"/>
      </w:pPr>
      <w:r>
        <w:t>根據</w:t>
      </w:r>
      <w:r>
        <w:t xml:space="preserve"> Ha </w:t>
      </w:r>
      <w:r>
        <w:t>等人（</w:t>
      </w:r>
      <w:r>
        <w:t>2022</w:t>
      </w:r>
      <w:r>
        <w:t>）針對</w:t>
      </w:r>
      <w:r>
        <w:t xml:space="preserve"> 8 </w:t>
      </w:r>
      <w:r>
        <w:t>種阿托品濃度所進行之網路統合分析，及</w:t>
      </w:r>
      <w:r>
        <w:t xml:space="preserve"> </w:t>
      </w:r>
      <w:r>
        <w:lastRenderedPageBreak/>
        <w:t xml:space="preserve">LAMP </w:t>
      </w:r>
      <w:r>
        <w:t>研究三年追蹤結果，</w:t>
      </w:r>
      <w:r>
        <w:t xml:space="preserve">0.05% </w:t>
      </w:r>
      <w:r>
        <w:t>阿托品在控制眼軸增長上效果顯著（</w:t>
      </w:r>
      <w:r>
        <w:t xml:space="preserve">1 </w:t>
      </w:r>
      <w:r>
        <w:t>年約</w:t>
      </w:r>
      <w:r>
        <w:t xml:space="preserve"> -0.25 mm</w:t>
      </w:r>
      <w:r>
        <w:t>）且副作用極低，為目前國際公認之黃金標準（</w:t>
      </w:r>
      <w:r>
        <w:t>Yam et al., 2019</w:t>
      </w:r>
      <w:r>
        <w:t>；</w:t>
      </w:r>
      <w:r>
        <w:t>2022</w:t>
      </w:r>
      <w:r>
        <w:t>）。停藥時必須採「階梯式減量」，預防反彈效應（</w:t>
      </w:r>
      <w:r>
        <w:t>Yam et al., 2022</w:t>
      </w:r>
      <w:r>
        <w:t>）。</w:t>
      </w:r>
      <w:r>
        <w:t xml:space="preserve">0.01% </w:t>
      </w:r>
      <w:r>
        <w:t>阿托品雖副作用更低，但在不同族群研究中效果不一致，為次選濃度（臺灣視光視力保健學會，</w:t>
      </w:r>
      <w:r>
        <w:t>2026</w:t>
      </w:r>
      <w:r>
        <w:t>，未發表手稿）。</w:t>
      </w:r>
    </w:p>
    <w:p w14:paraId="5D718B53" w14:textId="77777777" w:rsidR="004C63FE" w:rsidRDefault="00000000">
      <w:pPr>
        <w:spacing w:before="120" w:after="120"/>
        <w:ind w:firstLine="576"/>
      </w:pPr>
      <w:r>
        <w:rPr>
          <w:b/>
          <w:bCs/>
        </w:rPr>
        <w:t>第四階：合併治療（強化）</w:t>
      </w:r>
    </w:p>
    <w:p w14:paraId="67FAE516" w14:textId="77777777" w:rsidR="004C63FE" w:rsidRDefault="00000000">
      <w:pPr>
        <w:spacing w:before="120" w:after="120"/>
        <w:ind w:firstLine="576"/>
      </w:pPr>
      <w:r>
        <w:t>對於快速進展（年增幅</w:t>
      </w:r>
      <w:r>
        <w:t xml:space="preserve"> &gt; 100 </w:t>
      </w:r>
      <w:r>
        <w:t>度）或高度近視風險較高之個案，可考慮合併藥物與光學介入（如</w:t>
      </w:r>
      <w:r>
        <w:t xml:space="preserve"> 0.05% </w:t>
      </w:r>
      <w:r>
        <w:t>阿托品</w:t>
      </w:r>
      <w:r>
        <w:t xml:space="preserve"> + Ortho-K</w:t>
      </w:r>
      <w:r>
        <w:t>）。每</w:t>
      </w:r>
      <w:r>
        <w:t xml:space="preserve"> 6 </w:t>
      </w:r>
      <w:r>
        <w:t>個月動態評估控制成效，進展過快則升階，控制穩定可維持，長期穩定可考慮降階（臺灣視光視力保健學會，</w:t>
      </w:r>
      <w:r>
        <w:t>2026</w:t>
      </w:r>
      <w:r>
        <w:t>，未發表手稿）。</w:t>
      </w:r>
    </w:p>
    <w:p w14:paraId="1F337973" w14:textId="77777777" w:rsidR="004C63FE" w:rsidRDefault="00000000">
      <w:pPr>
        <w:pStyle w:val="4"/>
        <w:spacing w:before="240" w:after="120"/>
      </w:pPr>
      <w:r>
        <w:t xml:space="preserve">2.2.3 </w:t>
      </w:r>
      <w:r>
        <w:t>遠視儲備監測：安全氣囊理論</w:t>
      </w:r>
    </w:p>
    <w:p w14:paraId="14C6FF4E" w14:textId="77777777" w:rsidR="004C63FE" w:rsidRDefault="00000000">
      <w:pPr>
        <w:spacing w:before="120" w:after="120"/>
        <w:ind w:firstLine="576"/>
      </w:pPr>
      <w:r>
        <w:t>遠視儲備是眼球正常發育的「緩衝空間」，為近視發生的早期預測指標（</w:t>
      </w:r>
      <w:r>
        <w:t>Mutti et al., 2007</w:t>
      </w:r>
      <w:r>
        <w:t>；</w:t>
      </w:r>
      <w:r>
        <w:t>Zadnik et al., 2015</w:t>
      </w:r>
      <w:r>
        <w:t>）。各年齡正常參考值：</w:t>
      </w:r>
      <w:r>
        <w:t xml:space="preserve">3 </w:t>
      </w:r>
      <w:r>
        <w:t>歲約</w:t>
      </w:r>
      <w:r>
        <w:t xml:space="preserve"> +2.00D</w:t>
      </w:r>
      <w:r>
        <w:t>、</w:t>
      </w:r>
      <w:r>
        <w:t xml:space="preserve">4 </w:t>
      </w:r>
      <w:r>
        <w:t>歲約</w:t>
      </w:r>
      <w:r>
        <w:t xml:space="preserve"> +1.50D</w:t>
      </w:r>
      <w:r>
        <w:t>、</w:t>
      </w:r>
      <w:r>
        <w:t xml:space="preserve">5 </w:t>
      </w:r>
      <w:r>
        <w:t>歲約</w:t>
      </w:r>
      <w:r>
        <w:t xml:space="preserve"> +1.25D</w:t>
      </w:r>
      <w:r>
        <w:t>、</w:t>
      </w:r>
      <w:r>
        <w:t xml:space="preserve">6 </w:t>
      </w:r>
      <w:r>
        <w:t>歲約</w:t>
      </w:r>
      <w:r>
        <w:t xml:space="preserve"> +1.00D</w:t>
      </w:r>
      <w:r>
        <w:t>；</w:t>
      </w:r>
      <w:r>
        <w:t xml:space="preserve">6 </w:t>
      </w:r>
      <w:r>
        <w:t>歲時遠視儲備低於</w:t>
      </w:r>
      <w:r>
        <w:t xml:space="preserve"> +0.75D</w:t>
      </w:r>
      <w:r>
        <w:t>，屬高風險群（</w:t>
      </w:r>
      <w:r>
        <w:t>CLEERE Study</w:t>
      </w:r>
      <w:r>
        <w:t>；</w:t>
      </w:r>
      <w:r>
        <w:t>Yue et al., 2025</w:t>
      </w:r>
      <w:r>
        <w:t>）。</w:t>
      </w:r>
    </w:p>
    <w:p w14:paraId="313D149A" w14:textId="77777777" w:rsidR="004C63FE" w:rsidRDefault="00000000">
      <w:pPr>
        <w:spacing w:before="120" w:after="120"/>
        <w:ind w:firstLine="576"/>
      </w:pPr>
      <w:r>
        <w:t>然而，遠視儲備並非越多越好。過高遠視（如</w:t>
      </w:r>
      <w:r>
        <w:t xml:space="preserve"> 5 </w:t>
      </w:r>
      <w:r>
        <w:t>歲仍超過</w:t>
      </w:r>
      <w:r>
        <w:t xml:space="preserve"> +3.00D</w:t>
      </w:r>
      <w:r>
        <w:t>）可能代表正視化機制失敗（</w:t>
      </w:r>
      <w:r>
        <w:t>Mutti, 2009</w:t>
      </w:r>
      <w:r>
        <w:t>；</w:t>
      </w:r>
      <w:r>
        <w:t>Flitcroft, 2014</w:t>
      </w:r>
      <w:r>
        <w:t>），且易引發調節性內斜視與弱視風險（</w:t>
      </w:r>
      <w:r>
        <w:t>Srinivasan, 2025</w:t>
      </w:r>
      <w:r>
        <w:t>）。監控重點在於「消耗速度」而非「存量」：若遠視度數在一年內從</w:t>
      </w:r>
      <w:r>
        <w:t xml:space="preserve"> +2.00D </w:t>
      </w:r>
      <w:r>
        <w:t>快速降至</w:t>
      </w:r>
      <w:r>
        <w:t xml:space="preserve"> +0.50D</w:t>
      </w:r>
      <w:r>
        <w:t>，即屬高風險，應立即啟動預防管理措施（</w:t>
      </w:r>
      <w:r>
        <w:t>Li et al., 2024</w:t>
      </w:r>
      <w:r>
        <w:t>；臺灣視光視力保健學會，</w:t>
      </w:r>
      <w:r>
        <w:t>2026</w:t>
      </w:r>
      <w:r>
        <w:t>，未發表手稿）。</w:t>
      </w:r>
    </w:p>
    <w:p w14:paraId="0F4C1371" w14:textId="77777777" w:rsidR="004C63FE" w:rsidRDefault="00000000">
      <w:pPr>
        <w:pStyle w:val="4"/>
        <w:spacing w:before="240" w:after="120"/>
      </w:pPr>
      <w:r>
        <w:t xml:space="preserve">2.2.4 </w:t>
      </w:r>
      <w:r>
        <w:t>雙眼視機能監測警語</w:t>
      </w:r>
    </w:p>
    <w:p w14:paraId="74929211" w14:textId="77777777" w:rsidR="004C63FE" w:rsidRDefault="00000000">
      <w:pPr>
        <w:spacing w:before="120" w:after="120"/>
        <w:ind w:firstLine="576"/>
      </w:pPr>
      <w:r>
        <w:t>長期使用散瞳劑會抑制調節（</w:t>
      </w:r>
      <w:r>
        <w:t>Accommodation</w:t>
      </w:r>
      <w:r>
        <w:t>）與瞳孔收縮（</w:t>
      </w:r>
      <w:r>
        <w:t>Miosis</w:t>
      </w:r>
      <w:r>
        <w:t>），進而影響近見三連動（</w:t>
      </w:r>
      <w:r>
        <w:t>Near Triad</w:t>
      </w:r>
      <w:r>
        <w:t>）機制，導致</w:t>
      </w:r>
      <w:r>
        <w:t xml:space="preserve"> AC/A ratio </w:t>
      </w:r>
      <w:r>
        <w:t>改變、近距離用眼時內斜偏位增加與負融像幅度下降（</w:t>
      </w:r>
      <w:r>
        <w:t>Jiang et al., 2022</w:t>
      </w:r>
      <w:r>
        <w:t>；</w:t>
      </w:r>
      <w:proofErr w:type="spellStart"/>
      <w:r>
        <w:t>Breliant</w:t>
      </w:r>
      <w:proofErr w:type="spellEnd"/>
      <w:r>
        <w:t xml:space="preserve"> et al., 2025</w:t>
      </w:r>
      <w:r>
        <w:t>）。</w:t>
      </w:r>
    </w:p>
    <w:p w14:paraId="35FA82F9" w14:textId="77777777" w:rsidR="004C63FE" w:rsidRDefault="00000000">
      <w:pPr>
        <w:spacing w:before="120" w:after="120"/>
        <w:ind w:firstLine="576"/>
      </w:pPr>
      <w:r>
        <w:lastRenderedPageBreak/>
        <w:t>使用散瞳劑之學童應定期監測雙眼視功能，評估項目包括：調節幅度、調節靈活度、輻輳近點（</w:t>
      </w:r>
      <w:r>
        <w:t>NPC</w:t>
      </w:r>
      <w:r>
        <w:t>）、融像範圍與立體視；如發現異常，應轉介驗光師進行完整評估與訓練規劃（</w:t>
      </w:r>
      <w:r>
        <w:t>Akerman, 2022</w:t>
      </w:r>
      <w:r>
        <w:t>；臺灣視光視力保健學會，</w:t>
      </w:r>
      <w:r>
        <w:t>2026</w:t>
      </w:r>
      <w:r>
        <w:t>，未發表手稿）。</w:t>
      </w:r>
    </w:p>
    <w:p w14:paraId="667F5A67" w14:textId="77777777" w:rsidR="004C63FE" w:rsidRDefault="00000000">
      <w:pPr>
        <w:pStyle w:val="3"/>
        <w:spacing w:before="280" w:after="140"/>
      </w:pPr>
      <w:r>
        <w:t xml:space="preserve">2.3 </w:t>
      </w:r>
      <w:r>
        <w:t>視力保健健康不平等</w:t>
      </w:r>
      <w:r>
        <w:t xml:space="preserve"> ── </w:t>
      </w:r>
      <w:r>
        <w:t>張麗春</w:t>
      </w:r>
      <w:r>
        <w:t xml:space="preserve"> </w:t>
      </w:r>
      <w:r>
        <w:t>教授</w:t>
      </w:r>
    </w:p>
    <w:p w14:paraId="3EBC1A5A" w14:textId="77777777" w:rsidR="004C63FE" w:rsidRDefault="00000000">
      <w:pPr>
        <w:spacing w:before="120" w:after="120"/>
        <w:ind w:firstLine="576"/>
      </w:pPr>
      <w:r>
        <w:rPr>
          <w:b/>
          <w:bCs/>
        </w:rPr>
        <w:t>（請教授補充內容）</w:t>
      </w:r>
    </w:p>
    <w:p w14:paraId="514BCEFA" w14:textId="77777777" w:rsidR="004C63FE" w:rsidRDefault="00000000">
      <w:pPr>
        <w:pStyle w:val="2"/>
        <w:spacing w:before="320" w:after="160"/>
      </w:pPr>
      <w:r>
        <w:t xml:space="preserve">3. </w:t>
      </w:r>
      <w:r>
        <w:t>學童視力篩檢與矯正服務之離島跨領域合作模式</w:t>
      </w:r>
    </w:p>
    <w:p w14:paraId="64503651" w14:textId="77777777" w:rsidR="004C63FE" w:rsidRDefault="00000000">
      <w:pPr>
        <w:pStyle w:val="3"/>
        <w:spacing w:before="280" w:after="140"/>
      </w:pPr>
      <w:r>
        <w:t xml:space="preserve">3.1 </w:t>
      </w:r>
      <w:r>
        <w:t>偏鄉兒童視力保健問題</w:t>
      </w:r>
      <w:r>
        <w:t xml:space="preserve"> ── </w:t>
      </w:r>
      <w:r>
        <w:t>張麗春</w:t>
      </w:r>
      <w:r>
        <w:t xml:space="preserve"> </w:t>
      </w:r>
      <w:r>
        <w:t>教授</w:t>
      </w:r>
    </w:p>
    <w:p w14:paraId="7440B809" w14:textId="77777777" w:rsidR="004C63FE" w:rsidRDefault="00000000">
      <w:pPr>
        <w:spacing w:before="120" w:after="120"/>
        <w:ind w:firstLine="576"/>
      </w:pPr>
      <w:r>
        <w:rPr>
          <w:b/>
          <w:bCs/>
        </w:rPr>
        <w:t>（請教授補充內容）</w:t>
      </w:r>
    </w:p>
    <w:p w14:paraId="71E11FB6" w14:textId="77777777" w:rsidR="004C63FE" w:rsidRDefault="00000000">
      <w:pPr>
        <w:pStyle w:val="3"/>
        <w:spacing w:before="280" w:after="140"/>
      </w:pPr>
      <w:r>
        <w:t xml:space="preserve">3.2 </w:t>
      </w:r>
      <w:r>
        <w:t>跨領域服務模式</w:t>
      </w:r>
      <w:r>
        <w:t xml:space="preserve"> ── </w:t>
      </w:r>
      <w:r>
        <w:t>臺灣視光視力保健學會</w:t>
      </w:r>
      <w:r>
        <w:t xml:space="preserve"> </w:t>
      </w:r>
      <w:r>
        <w:t>執筆</w:t>
      </w:r>
    </w:p>
    <w:p w14:paraId="648A7F6D" w14:textId="77777777" w:rsidR="004C63FE" w:rsidRDefault="00000000">
      <w:pPr>
        <w:spacing w:before="120" w:after="120"/>
        <w:ind w:firstLine="576"/>
      </w:pPr>
      <w:r>
        <w:t>本計畫所提出之離島跨領域服務模式，核心目標在於回應「法規高度管制、醫療人力不足、學童需求持續存在」三者之間的結構性落差。臺灣視光視力保健學會自</w:t>
      </w:r>
      <w:r>
        <w:t xml:space="preserve"> 2013 </w:t>
      </w:r>
      <w:r>
        <w:t>年起每年前往馬祖執行「送愛到學校」計畫，至</w:t>
      </w:r>
      <w:r>
        <w:t xml:space="preserve"> 2025 </w:t>
      </w:r>
      <w:r>
        <w:t>年已累積逾</w:t>
      </w:r>
      <w:r>
        <w:t xml:space="preserve"> 12 </w:t>
      </w:r>
      <w:r>
        <w:t>年之離島服務經驗（馬祖日報，</w:t>
      </w:r>
      <w:r>
        <w:t>2021</w:t>
      </w:r>
      <w:r>
        <w:t>；東引鄉公所，</w:t>
      </w:r>
      <w:r>
        <w:t>2025</w:t>
      </w:r>
      <w:r>
        <w:t>），逐步從單次公益配鏡活動演進為具備標準化流程、多公會跨域協作與系統性追蹤的視力保健服務體系。</w:t>
      </w:r>
    </w:p>
    <w:p w14:paraId="3047719C" w14:textId="77777777" w:rsidR="004C63FE" w:rsidRDefault="00000000">
      <w:pPr>
        <w:pStyle w:val="4"/>
        <w:spacing w:before="240" w:after="120"/>
      </w:pPr>
      <w:r>
        <w:t xml:space="preserve">3.2.1 </w:t>
      </w:r>
      <w:r>
        <w:t>法規與人力的結構性困境</w:t>
      </w:r>
    </w:p>
    <w:p w14:paraId="3FDE2E8F" w14:textId="77777777" w:rsidR="004C63FE" w:rsidRDefault="00000000">
      <w:pPr>
        <w:spacing w:before="120" w:after="120"/>
        <w:ind w:firstLine="576"/>
      </w:pPr>
      <w:r>
        <w:t>《驗光人員法》雖明定</w:t>
      </w:r>
      <w:r>
        <w:t xml:space="preserve"> 6 </w:t>
      </w:r>
      <w:r>
        <w:t>歲以下驗光不得由驗光師執行，其立法精神在於保護幼童，然此一規範在離島地區形成「有法規沒人力」的困境。更弔詭的是，法規禁止連通過國家高考的驗光師執行此項業務，卻無法有效阻止診所內無證照人員代為操作，形成「法規最嚴、現場最鬆」的矛盾（臺灣視光視力保健學會，</w:t>
      </w:r>
      <w:r>
        <w:t>2026</w:t>
      </w:r>
      <w:r>
        <w:t>，未發表手稿）。</w:t>
      </w:r>
    </w:p>
    <w:p w14:paraId="49AD0954" w14:textId="77777777" w:rsidR="004C63FE" w:rsidRDefault="00000000">
      <w:pPr>
        <w:pStyle w:val="4"/>
        <w:spacing w:before="240" w:after="120"/>
      </w:pPr>
      <w:r>
        <w:lastRenderedPageBreak/>
        <w:t xml:space="preserve">3.2.2 115 </w:t>
      </w:r>
      <w:r>
        <w:t>年落日條款之法規斷崖</w:t>
      </w:r>
    </w:p>
    <w:p w14:paraId="0E4BAC24" w14:textId="77777777" w:rsidR="004C63FE" w:rsidRDefault="00000000">
      <w:pPr>
        <w:spacing w:before="120" w:after="120"/>
        <w:ind w:firstLine="576"/>
      </w:pPr>
      <w:r>
        <w:t>連江縣目前無合法驗光所。隨驗光人員法落日條款生效，若無專業體系銜接，離島屈光資源將面臨全面中斷，離島學童的視力照護可近性將進一步惡化。</w:t>
      </w:r>
    </w:p>
    <w:p w14:paraId="0817A5A4" w14:textId="77777777" w:rsidR="004C63FE" w:rsidRDefault="00000000">
      <w:pPr>
        <w:pStyle w:val="4"/>
        <w:spacing w:before="240" w:after="120"/>
      </w:pPr>
      <w:r>
        <w:t xml:space="preserve">3.2.3 </w:t>
      </w:r>
      <w:r>
        <w:t>跨域人力組成</w:t>
      </w:r>
    </w:p>
    <w:p w14:paraId="0E3A3FC6" w14:textId="495F428E" w:rsidR="004C63FE" w:rsidRDefault="00000000">
      <w:pPr>
        <w:spacing w:before="120" w:after="120"/>
        <w:ind w:firstLine="576"/>
      </w:pPr>
      <w:r>
        <w:t>歷次服務之參與成員涵蓋臺灣視光視力保健學會、</w:t>
      </w:r>
      <w:r w:rsidR="008B147F">
        <w:rPr>
          <w:rFonts w:hint="eastAsia"/>
        </w:rPr>
        <w:t>新</w:t>
      </w:r>
      <w:r w:rsidR="008B147F">
        <w:t>北市驗光師公會</w:t>
      </w:r>
      <w:r w:rsidR="008B147F" w:rsidRPr="008B147F">
        <w:rPr>
          <w:rFonts w:hint="eastAsia"/>
        </w:rPr>
        <w:t>、</w:t>
      </w:r>
      <w:r w:rsidR="008B147F">
        <w:rPr>
          <w:rFonts w:hint="eastAsia"/>
        </w:rPr>
        <w:t>新</w:t>
      </w:r>
      <w:r w:rsidR="008B147F">
        <w:t>北市驗光</w:t>
      </w:r>
      <w:r w:rsidR="008B147F">
        <w:rPr>
          <w:rFonts w:hint="eastAsia"/>
        </w:rPr>
        <w:t>生</w:t>
      </w:r>
      <w:r w:rsidR="008B147F">
        <w:t>公會</w:t>
      </w:r>
      <w:r w:rsidR="008B147F" w:rsidRPr="008B147F">
        <w:rPr>
          <w:rFonts w:hint="eastAsia"/>
        </w:rPr>
        <w:t>、</w:t>
      </w:r>
      <w:r>
        <w:t>桃園市驗光師公會、新竹縣驗光生公會、台北市驗光師公會，以及元培醫事科技大學視光系師生（馬祖日報，</w:t>
      </w:r>
      <w:r>
        <w:t>2025</w:t>
      </w:r>
      <w:r>
        <w:t>）。「學會</w:t>
      </w:r>
      <w:r>
        <w:t>—</w:t>
      </w:r>
      <w:r>
        <w:t>公會</w:t>
      </w:r>
      <w:r>
        <w:t>—</w:t>
      </w:r>
      <w:r w:rsidR="008B147F">
        <w:rPr>
          <w:rFonts w:hint="eastAsia"/>
        </w:rPr>
        <w:t>視光科系相關學校</w:t>
      </w:r>
      <w:r>
        <w:t>」三方合作的人力動員模式，有效突破單一機構人力不足的限制，同時提供視光系學生實務見習場域。</w:t>
      </w:r>
    </w:p>
    <w:p w14:paraId="6BAD556F" w14:textId="77777777" w:rsidR="004C63FE" w:rsidRDefault="00000000">
      <w:pPr>
        <w:pStyle w:val="4"/>
        <w:spacing w:before="240" w:after="120"/>
      </w:pPr>
      <w:r>
        <w:t xml:space="preserve">3.2.4 </w:t>
      </w:r>
      <w:r>
        <w:t>服務流程與分工機制</w:t>
      </w:r>
    </w:p>
    <w:p w14:paraId="73B3809A" w14:textId="77777777" w:rsidR="004C63FE" w:rsidRDefault="00000000">
      <w:pPr>
        <w:spacing w:before="120" w:after="120"/>
        <w:ind w:firstLine="576"/>
      </w:pPr>
      <w:r>
        <w:t>本模式採「前期盤點</w:t>
      </w:r>
      <w:r>
        <w:t>—</w:t>
      </w:r>
      <w:r>
        <w:t>進校篩檢</w:t>
      </w:r>
      <w:r>
        <w:t>—</w:t>
      </w:r>
      <w:r>
        <w:t>分級轉介</w:t>
      </w:r>
      <w:r>
        <w:t>—</w:t>
      </w:r>
      <w:r>
        <w:t>追蹤回饋」四階段運作。</w:t>
      </w:r>
    </w:p>
    <w:p w14:paraId="485988C2" w14:textId="77777777" w:rsidR="004C63FE" w:rsidRDefault="00000000">
      <w:pPr>
        <w:spacing w:before="120" w:after="120"/>
        <w:ind w:firstLine="576"/>
      </w:pPr>
      <w:r>
        <w:rPr>
          <w:b/>
          <w:bCs/>
        </w:rPr>
        <w:t>前期盤點</w:t>
      </w:r>
      <w:r>
        <w:t>：透過既有學校視力檢查資料與地方衛生單位紀錄，掌握各校視力不良比率與醫療可近性差異，規劃服務密度與頻率。</w:t>
      </w:r>
    </w:p>
    <w:p w14:paraId="2DE05B36" w14:textId="77777777" w:rsidR="004C63FE" w:rsidRDefault="00000000">
      <w:pPr>
        <w:spacing w:before="120" w:after="120"/>
        <w:ind w:firstLine="576"/>
      </w:pPr>
      <w:r>
        <w:rPr>
          <w:b/>
          <w:bCs/>
        </w:rPr>
        <w:t>進校篩檢</w:t>
      </w:r>
      <w:r>
        <w:t>：採標準化多項目視功能評估，包含電腦驗光、舊眼鏡度數比對、色覺測試、立體視測試、斜弱視檢查、眼球運動（含眼位）、眼壓測量、屈光不正檢查等逾</w:t>
      </w:r>
      <w:r>
        <w:t xml:space="preserve"> 10 </w:t>
      </w:r>
      <w:r>
        <w:t>項（馬祖日報，</w:t>
      </w:r>
      <w:r>
        <w:t>2024</w:t>
      </w:r>
      <w:r>
        <w:t>）。每次服務通常兵分</w:t>
      </w:r>
      <w:r>
        <w:t xml:space="preserve"> 2 </w:t>
      </w:r>
      <w:r>
        <w:t>至</w:t>
      </w:r>
      <w:r>
        <w:t xml:space="preserve"> 3 </w:t>
      </w:r>
      <w:r>
        <w:t>路，同步進駐東引、西莒、南竿等地，最大化人力覆蓋效率（東引鄉公所，</w:t>
      </w:r>
      <w:r>
        <w:t>2025</w:t>
      </w:r>
      <w:r>
        <w:t>）。</w:t>
      </w:r>
    </w:p>
    <w:p w14:paraId="1317ED34" w14:textId="77777777" w:rsidR="004C63FE" w:rsidRDefault="00000000">
      <w:pPr>
        <w:spacing w:before="120" w:after="120"/>
        <w:ind w:firstLine="576"/>
      </w:pPr>
      <w:r>
        <w:rPr>
          <w:b/>
          <w:bCs/>
        </w:rPr>
        <w:t>分級轉介</w:t>
      </w:r>
      <w:r>
        <w:t>：單純屈光不正且無特殊危險因子者，由驗光師依足度全矯正原則現場配鏡；高度近視、疑似視網膜病變或斜弱視個案轉介至醫院眼科；具明顯調節或輻輳問題者建議安排雙眼視功能評估。此一分級設計與本會倡議之階梯式處置原則一致（臺灣視光視力保健學會，</w:t>
      </w:r>
      <w:r>
        <w:t>2026</w:t>
      </w:r>
      <w:r>
        <w:t>，未發表手稿）。</w:t>
      </w:r>
    </w:p>
    <w:p w14:paraId="17F39B6A" w14:textId="77777777" w:rsidR="004C63FE" w:rsidRDefault="00000000">
      <w:pPr>
        <w:spacing w:before="120" w:after="120"/>
        <w:ind w:firstLine="576"/>
      </w:pPr>
      <w:r>
        <w:rPr>
          <w:b/>
          <w:bCs/>
        </w:rPr>
        <w:t>追蹤回饋</w:t>
      </w:r>
      <w:r>
        <w:t>：建立縣級學童視力追蹤資料庫，將學校篩檢結果、醫療矯正紀錄與後續視力變化納入同一架構，每學年定期比對，評估介入成效並動態調整</w:t>
      </w:r>
      <w:r>
        <w:lastRenderedPageBreak/>
        <w:t>服務配置。</w:t>
      </w:r>
    </w:p>
    <w:p w14:paraId="779DFBD5" w14:textId="77777777" w:rsidR="004C63FE" w:rsidRDefault="00000000">
      <w:pPr>
        <w:pStyle w:val="4"/>
        <w:spacing w:before="240" w:after="120"/>
      </w:pPr>
      <w:r>
        <w:t xml:space="preserve">3.2.5 </w:t>
      </w:r>
      <w:r>
        <w:t>驗光師的角色定位：精緻補位而非搶佔回條</w:t>
      </w:r>
    </w:p>
    <w:p w14:paraId="02D321C7" w14:textId="77777777" w:rsidR="004C63FE" w:rsidRDefault="00000000">
      <w:pPr>
        <w:spacing w:before="120" w:after="120"/>
        <w:ind w:firstLine="576"/>
      </w:pPr>
      <w:r>
        <w:t>本服務模式明確定位驗光師為「眼科無暇觸及之深度照護提供者」，而非取代現行回條體系（臺灣視光視力保健學會，</w:t>
      </w:r>
      <w:r>
        <w:t>2026</w:t>
      </w:r>
      <w:r>
        <w:t>，未發表手稿）。本會提供的服務包括：完整屈光檢查（</w:t>
      </w:r>
      <w:r>
        <w:t xml:space="preserve">20–30 </w:t>
      </w:r>
      <w:r>
        <w:t>分鐘）、雙眼視機能分析（</w:t>
      </w:r>
      <w:r>
        <w:t xml:space="preserve">30–45 </w:t>
      </w:r>
      <w:r>
        <w:t>分鐘）、近視控制方案個別化諮詢，以及視覺行為管理具體指導。敬恆國中小校長陳紫開曾公開表示，感謝連江縣教育處整合醫療資源與民間力量，與本學會克服離島限制，矯治地區學生的視力保健（中央社，</w:t>
      </w:r>
      <w:r>
        <w:t>2021</w:t>
      </w:r>
      <w:r>
        <w:t>），此一官方肯定說明視光專業的補位角色已獲制度性認可。</w:t>
      </w:r>
    </w:p>
    <w:p w14:paraId="78C38B75" w14:textId="77777777" w:rsidR="004C63FE" w:rsidRDefault="00000000">
      <w:pPr>
        <w:pStyle w:val="4"/>
        <w:spacing w:before="240" w:after="120"/>
      </w:pPr>
      <w:r>
        <w:t xml:space="preserve">3.2.6 </w:t>
      </w:r>
      <w:r>
        <w:t>服務行程規劃與經費結構</w:t>
      </w:r>
    </w:p>
    <w:p w14:paraId="00CA023E" w14:textId="77777777" w:rsidR="004C63FE" w:rsidRDefault="00000000">
      <w:pPr>
        <w:spacing w:before="120" w:after="120"/>
        <w:ind w:firstLine="576"/>
      </w:pPr>
      <w:r>
        <w:t>本計畫每年由臺灣視光視力保健學會招募</w:t>
      </w:r>
      <w:r>
        <w:t xml:space="preserve"> 16 </w:t>
      </w:r>
      <w:r>
        <w:t>名具國考證照之驗光人員，以三天兩夜之行程前往連江縣執行服務，行程安排如下：</w:t>
      </w:r>
    </w:p>
    <w:tbl>
      <w:tblPr>
        <w:tblW w:w="5000" w:type="pct"/>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CellMar>
          <w:left w:w="10" w:type="dxa"/>
          <w:right w:w="10" w:type="dxa"/>
        </w:tblCellMar>
        <w:tblLook w:val="04A0" w:firstRow="1" w:lastRow="0" w:firstColumn="1" w:lastColumn="0" w:noHBand="0" w:noVBand="1"/>
      </w:tblPr>
      <w:tblGrid>
        <w:gridCol w:w="773"/>
        <w:gridCol w:w="7006"/>
        <w:gridCol w:w="525"/>
      </w:tblGrid>
      <w:tr w:rsidR="004C63FE" w14:paraId="6D294D32" w14:textId="77777777">
        <w:tblPrEx>
          <w:tblCellMar>
            <w:top w:w="0" w:type="dxa"/>
            <w:bottom w:w="0" w:type="dxa"/>
          </w:tblCellMar>
        </w:tblPrEx>
        <w:trPr>
          <w:tblHeader/>
        </w:trPr>
        <w:tc>
          <w:tcPr>
            <w:tcW w:w="0" w:type="auto"/>
            <w:shd w:val="clear" w:color="auto" w:fill="D9E2F3"/>
            <w:vAlign w:val="center"/>
          </w:tcPr>
          <w:p w14:paraId="60C4BCF1" w14:textId="77777777" w:rsidR="004C63FE" w:rsidRDefault="00000000">
            <w:pPr>
              <w:spacing w:before="40" w:after="40"/>
              <w:jc w:val="center"/>
            </w:pPr>
            <w:r>
              <w:rPr>
                <w:b/>
                <w:bCs/>
                <w:sz w:val="20"/>
                <w:szCs w:val="20"/>
              </w:rPr>
              <w:t>天次</w:t>
            </w:r>
          </w:p>
        </w:tc>
        <w:tc>
          <w:tcPr>
            <w:tcW w:w="0" w:type="auto"/>
            <w:shd w:val="clear" w:color="auto" w:fill="D9E2F3"/>
            <w:vAlign w:val="center"/>
          </w:tcPr>
          <w:p w14:paraId="76916122" w14:textId="77777777" w:rsidR="004C63FE" w:rsidRDefault="00000000">
            <w:pPr>
              <w:spacing w:before="40" w:after="40"/>
              <w:jc w:val="center"/>
            </w:pPr>
            <w:r>
              <w:rPr>
                <w:b/>
                <w:bCs/>
                <w:sz w:val="20"/>
                <w:szCs w:val="20"/>
              </w:rPr>
              <w:t>行程內容</w:t>
            </w:r>
          </w:p>
        </w:tc>
        <w:tc>
          <w:tcPr>
            <w:tcW w:w="0" w:type="auto"/>
            <w:shd w:val="clear" w:color="auto" w:fill="D9E2F3"/>
            <w:vAlign w:val="center"/>
          </w:tcPr>
          <w:p w14:paraId="42485D1F" w14:textId="77777777" w:rsidR="004C63FE" w:rsidRDefault="00000000">
            <w:pPr>
              <w:spacing w:before="40" w:after="40"/>
              <w:jc w:val="center"/>
            </w:pPr>
            <w:r>
              <w:rPr>
                <w:b/>
                <w:bCs/>
                <w:sz w:val="20"/>
                <w:szCs w:val="20"/>
              </w:rPr>
              <w:t>宿點</w:t>
            </w:r>
          </w:p>
        </w:tc>
      </w:tr>
      <w:tr w:rsidR="004C63FE" w14:paraId="7A90AACB" w14:textId="77777777">
        <w:tblPrEx>
          <w:tblCellMar>
            <w:top w:w="0" w:type="dxa"/>
            <w:bottom w:w="0" w:type="dxa"/>
          </w:tblCellMar>
        </w:tblPrEx>
        <w:tc>
          <w:tcPr>
            <w:tcW w:w="0" w:type="auto"/>
            <w:shd w:val="clear" w:color="auto" w:fill="F2F2F2"/>
            <w:vAlign w:val="center"/>
          </w:tcPr>
          <w:p w14:paraId="64835652" w14:textId="77777777" w:rsidR="004C63FE" w:rsidRDefault="00000000">
            <w:pPr>
              <w:spacing w:before="30" w:after="30"/>
            </w:pPr>
            <w:r>
              <w:rPr>
                <w:sz w:val="20"/>
                <w:szCs w:val="20"/>
              </w:rPr>
              <w:t>第一天</w:t>
            </w:r>
          </w:p>
        </w:tc>
        <w:tc>
          <w:tcPr>
            <w:tcW w:w="0" w:type="auto"/>
            <w:shd w:val="clear" w:color="auto" w:fill="F2F2F2"/>
            <w:vAlign w:val="center"/>
          </w:tcPr>
          <w:p w14:paraId="1D937C01" w14:textId="77777777" w:rsidR="004C63FE" w:rsidRDefault="00000000">
            <w:pPr>
              <w:spacing w:before="30" w:after="30"/>
            </w:pPr>
            <w:r>
              <w:rPr>
                <w:sz w:val="20"/>
                <w:szCs w:val="20"/>
              </w:rPr>
              <w:t>各地驗光人員飛抵南竿，於本島集結、行前會議與器材整備</w:t>
            </w:r>
          </w:p>
        </w:tc>
        <w:tc>
          <w:tcPr>
            <w:tcW w:w="0" w:type="auto"/>
            <w:shd w:val="clear" w:color="auto" w:fill="F2F2F2"/>
            <w:vAlign w:val="center"/>
          </w:tcPr>
          <w:p w14:paraId="3E0901A3" w14:textId="77777777" w:rsidR="004C63FE" w:rsidRDefault="00000000">
            <w:pPr>
              <w:spacing w:before="30" w:after="30"/>
            </w:pPr>
            <w:r>
              <w:rPr>
                <w:sz w:val="20"/>
                <w:szCs w:val="20"/>
              </w:rPr>
              <w:t>南竿</w:t>
            </w:r>
          </w:p>
        </w:tc>
      </w:tr>
      <w:tr w:rsidR="004C63FE" w14:paraId="0FB79757" w14:textId="77777777">
        <w:tblPrEx>
          <w:tblCellMar>
            <w:top w:w="0" w:type="dxa"/>
            <w:bottom w:w="0" w:type="dxa"/>
          </w:tblCellMar>
        </w:tblPrEx>
        <w:tc>
          <w:tcPr>
            <w:tcW w:w="0" w:type="auto"/>
            <w:vAlign w:val="center"/>
          </w:tcPr>
          <w:p w14:paraId="1AF5331F" w14:textId="77777777" w:rsidR="004C63FE" w:rsidRDefault="00000000">
            <w:pPr>
              <w:spacing w:before="30" w:after="30"/>
            </w:pPr>
            <w:r>
              <w:rPr>
                <w:sz w:val="20"/>
                <w:szCs w:val="20"/>
              </w:rPr>
              <w:t>第二天</w:t>
            </w:r>
          </w:p>
        </w:tc>
        <w:tc>
          <w:tcPr>
            <w:tcW w:w="0" w:type="auto"/>
            <w:vAlign w:val="center"/>
          </w:tcPr>
          <w:p w14:paraId="4BB6EC06" w14:textId="77777777" w:rsidR="004C63FE" w:rsidRDefault="00000000">
            <w:pPr>
              <w:spacing w:before="30" w:after="30"/>
            </w:pPr>
            <w:r>
              <w:rPr>
                <w:sz w:val="20"/>
                <w:szCs w:val="20"/>
              </w:rPr>
              <w:t>清晨搭乘交通船前往離島（東引／莒光），進校執行篩檢與配鏡</w:t>
            </w:r>
          </w:p>
        </w:tc>
        <w:tc>
          <w:tcPr>
            <w:tcW w:w="0" w:type="auto"/>
            <w:vAlign w:val="center"/>
          </w:tcPr>
          <w:p w14:paraId="4389921F" w14:textId="77777777" w:rsidR="004C63FE" w:rsidRDefault="00000000">
            <w:pPr>
              <w:spacing w:before="30" w:after="30"/>
            </w:pPr>
            <w:r>
              <w:rPr>
                <w:sz w:val="20"/>
                <w:szCs w:val="20"/>
              </w:rPr>
              <w:t>離島</w:t>
            </w:r>
          </w:p>
        </w:tc>
      </w:tr>
      <w:tr w:rsidR="004C63FE" w14:paraId="58F48B08" w14:textId="77777777">
        <w:tblPrEx>
          <w:tblCellMar>
            <w:top w:w="0" w:type="dxa"/>
            <w:bottom w:w="0" w:type="dxa"/>
          </w:tblCellMar>
        </w:tblPrEx>
        <w:tc>
          <w:tcPr>
            <w:tcW w:w="0" w:type="auto"/>
            <w:shd w:val="clear" w:color="auto" w:fill="F2F2F2"/>
            <w:vAlign w:val="center"/>
          </w:tcPr>
          <w:p w14:paraId="1135A38C" w14:textId="77777777" w:rsidR="004C63FE" w:rsidRDefault="00000000">
            <w:pPr>
              <w:spacing w:before="30" w:after="30"/>
            </w:pPr>
            <w:r>
              <w:rPr>
                <w:sz w:val="20"/>
                <w:szCs w:val="20"/>
              </w:rPr>
              <w:t>第三天</w:t>
            </w:r>
          </w:p>
        </w:tc>
        <w:tc>
          <w:tcPr>
            <w:tcW w:w="0" w:type="auto"/>
            <w:shd w:val="clear" w:color="auto" w:fill="F2F2F2"/>
            <w:vAlign w:val="center"/>
          </w:tcPr>
          <w:p w14:paraId="51CFFB83" w14:textId="77777777" w:rsidR="004C63FE" w:rsidRDefault="00000000">
            <w:pPr>
              <w:spacing w:before="30" w:after="30"/>
            </w:pPr>
            <w:r>
              <w:rPr>
                <w:sz w:val="20"/>
                <w:szCs w:val="20"/>
              </w:rPr>
              <w:t>返回南竿本島，完成南竿學校之檢查與配鏡服務後離島返臺</w:t>
            </w:r>
          </w:p>
        </w:tc>
        <w:tc>
          <w:tcPr>
            <w:tcW w:w="0" w:type="auto"/>
            <w:shd w:val="clear" w:color="auto" w:fill="F2F2F2"/>
            <w:vAlign w:val="center"/>
          </w:tcPr>
          <w:p w14:paraId="32F0BFA2" w14:textId="77777777" w:rsidR="004C63FE" w:rsidRDefault="00000000">
            <w:pPr>
              <w:spacing w:before="30" w:after="30"/>
            </w:pPr>
            <w:r>
              <w:rPr>
                <w:sz w:val="20"/>
                <w:szCs w:val="20"/>
              </w:rPr>
              <w:t>—</w:t>
            </w:r>
          </w:p>
        </w:tc>
      </w:tr>
    </w:tbl>
    <w:p w14:paraId="3886A24D" w14:textId="77777777" w:rsidR="004C63FE" w:rsidRDefault="004C63FE">
      <w:pPr>
        <w:spacing w:after="160"/>
      </w:pPr>
    </w:p>
    <w:p w14:paraId="200D2922" w14:textId="77777777" w:rsidR="004C63FE" w:rsidRDefault="00000000">
      <w:pPr>
        <w:spacing w:before="120" w:after="120"/>
        <w:ind w:firstLine="576"/>
      </w:pPr>
      <w:r>
        <w:t>在經費分擔上，本計畫採「政府負擔交通住宿、學會負擔專業耗材、人力全額志工」之三方分攤模式：</w:t>
      </w:r>
    </w:p>
    <w:p w14:paraId="33EFC9EE" w14:textId="77777777" w:rsidR="004C63FE" w:rsidRDefault="00000000">
      <w:pPr>
        <w:spacing w:before="120" w:after="120"/>
        <w:ind w:firstLine="576"/>
      </w:pPr>
      <w:r>
        <w:rPr>
          <w:b/>
          <w:bCs/>
        </w:rPr>
        <w:t>表</w:t>
      </w:r>
      <w:r>
        <w:rPr>
          <w:b/>
          <w:bCs/>
        </w:rPr>
        <w:t>2</w:t>
      </w:r>
      <w:r>
        <w:rPr>
          <w:b/>
          <w:bCs/>
        </w:rPr>
        <w:t>：「送愛到學校」年度服務經費結構</w:t>
      </w:r>
    </w:p>
    <w:tbl>
      <w:tblPr>
        <w:tblW w:w="5000" w:type="pct"/>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CellMar>
          <w:left w:w="10" w:type="dxa"/>
          <w:right w:w="10" w:type="dxa"/>
        </w:tblCellMar>
        <w:tblLook w:val="04A0" w:firstRow="1" w:lastRow="0" w:firstColumn="1" w:lastColumn="0" w:noHBand="0" w:noVBand="1"/>
      </w:tblPr>
      <w:tblGrid>
        <w:gridCol w:w="2336"/>
        <w:gridCol w:w="1657"/>
        <w:gridCol w:w="1730"/>
        <w:gridCol w:w="2581"/>
      </w:tblGrid>
      <w:tr w:rsidR="004C63FE" w14:paraId="3A0AC6CD" w14:textId="77777777">
        <w:tblPrEx>
          <w:tblCellMar>
            <w:top w:w="0" w:type="dxa"/>
            <w:bottom w:w="0" w:type="dxa"/>
          </w:tblCellMar>
        </w:tblPrEx>
        <w:trPr>
          <w:tblHeader/>
        </w:trPr>
        <w:tc>
          <w:tcPr>
            <w:tcW w:w="0" w:type="auto"/>
            <w:shd w:val="clear" w:color="auto" w:fill="D9E2F3"/>
            <w:vAlign w:val="center"/>
          </w:tcPr>
          <w:p w14:paraId="11227B5E" w14:textId="77777777" w:rsidR="004C63FE" w:rsidRDefault="00000000">
            <w:pPr>
              <w:spacing w:before="40" w:after="40"/>
              <w:jc w:val="center"/>
            </w:pPr>
            <w:r>
              <w:rPr>
                <w:b/>
                <w:bCs/>
                <w:sz w:val="20"/>
                <w:szCs w:val="20"/>
              </w:rPr>
              <w:t>費用項目</w:t>
            </w:r>
          </w:p>
        </w:tc>
        <w:tc>
          <w:tcPr>
            <w:tcW w:w="0" w:type="auto"/>
            <w:shd w:val="clear" w:color="auto" w:fill="D9E2F3"/>
            <w:vAlign w:val="center"/>
          </w:tcPr>
          <w:p w14:paraId="72E378B2" w14:textId="77777777" w:rsidR="004C63FE" w:rsidRDefault="00000000">
            <w:pPr>
              <w:spacing w:before="40" w:after="40"/>
              <w:jc w:val="center"/>
            </w:pPr>
            <w:r>
              <w:rPr>
                <w:b/>
                <w:bCs/>
                <w:sz w:val="20"/>
                <w:szCs w:val="20"/>
              </w:rPr>
              <w:t>負擔單位</w:t>
            </w:r>
          </w:p>
        </w:tc>
        <w:tc>
          <w:tcPr>
            <w:tcW w:w="0" w:type="auto"/>
            <w:shd w:val="clear" w:color="auto" w:fill="D9E2F3"/>
            <w:vAlign w:val="center"/>
          </w:tcPr>
          <w:p w14:paraId="1B9A43AC" w14:textId="77777777" w:rsidR="004C63FE" w:rsidRDefault="00000000">
            <w:pPr>
              <w:spacing w:before="40" w:after="40"/>
              <w:jc w:val="center"/>
            </w:pPr>
            <w:r>
              <w:rPr>
                <w:b/>
                <w:bCs/>
                <w:sz w:val="20"/>
                <w:szCs w:val="20"/>
              </w:rPr>
              <w:t>估算金額（新臺幣）</w:t>
            </w:r>
          </w:p>
        </w:tc>
        <w:tc>
          <w:tcPr>
            <w:tcW w:w="0" w:type="auto"/>
            <w:shd w:val="clear" w:color="auto" w:fill="D9E2F3"/>
            <w:vAlign w:val="center"/>
          </w:tcPr>
          <w:p w14:paraId="0822CC78" w14:textId="77777777" w:rsidR="004C63FE" w:rsidRDefault="00000000">
            <w:pPr>
              <w:spacing w:before="40" w:after="40"/>
              <w:jc w:val="center"/>
            </w:pPr>
            <w:r>
              <w:rPr>
                <w:b/>
                <w:bCs/>
                <w:sz w:val="20"/>
                <w:szCs w:val="20"/>
              </w:rPr>
              <w:t>說明</w:t>
            </w:r>
          </w:p>
        </w:tc>
      </w:tr>
      <w:tr w:rsidR="004C63FE" w14:paraId="7FF246FF" w14:textId="77777777">
        <w:tblPrEx>
          <w:tblCellMar>
            <w:top w:w="0" w:type="dxa"/>
            <w:bottom w:w="0" w:type="dxa"/>
          </w:tblCellMar>
        </w:tblPrEx>
        <w:tc>
          <w:tcPr>
            <w:tcW w:w="0" w:type="auto"/>
            <w:shd w:val="clear" w:color="auto" w:fill="F2F2F2"/>
            <w:vAlign w:val="center"/>
          </w:tcPr>
          <w:p w14:paraId="4A796A95" w14:textId="77777777" w:rsidR="004C63FE" w:rsidRDefault="00000000">
            <w:pPr>
              <w:spacing w:before="30" w:after="30"/>
            </w:pPr>
            <w:r>
              <w:rPr>
                <w:sz w:val="20"/>
                <w:szCs w:val="20"/>
              </w:rPr>
              <w:t>臺北</w:t>
            </w:r>
            <w:r>
              <w:rPr>
                <w:sz w:val="20"/>
                <w:szCs w:val="20"/>
              </w:rPr>
              <w:t>—</w:t>
            </w:r>
            <w:r>
              <w:rPr>
                <w:sz w:val="20"/>
                <w:szCs w:val="20"/>
              </w:rPr>
              <w:t>南竿來回機票</w:t>
            </w:r>
          </w:p>
        </w:tc>
        <w:tc>
          <w:tcPr>
            <w:tcW w:w="0" w:type="auto"/>
            <w:shd w:val="clear" w:color="auto" w:fill="F2F2F2"/>
            <w:vAlign w:val="center"/>
          </w:tcPr>
          <w:p w14:paraId="2EFAB43D" w14:textId="77777777" w:rsidR="004C63FE" w:rsidRDefault="00000000">
            <w:pPr>
              <w:spacing w:before="30" w:after="30"/>
            </w:pPr>
            <w:r>
              <w:rPr>
                <w:sz w:val="20"/>
                <w:szCs w:val="20"/>
              </w:rPr>
              <w:t>連江縣教育處</w:t>
            </w:r>
          </w:p>
        </w:tc>
        <w:tc>
          <w:tcPr>
            <w:tcW w:w="0" w:type="auto"/>
            <w:shd w:val="clear" w:color="auto" w:fill="F2F2F2"/>
            <w:vAlign w:val="center"/>
          </w:tcPr>
          <w:p w14:paraId="62E16764" w14:textId="77777777" w:rsidR="004C63FE" w:rsidRDefault="00000000">
            <w:pPr>
              <w:spacing w:before="30" w:after="30"/>
            </w:pPr>
            <w:r>
              <w:rPr>
                <w:sz w:val="20"/>
                <w:szCs w:val="20"/>
              </w:rPr>
              <w:t xml:space="preserve">~65,600 </w:t>
            </w:r>
            <w:r>
              <w:rPr>
                <w:sz w:val="20"/>
                <w:szCs w:val="20"/>
              </w:rPr>
              <w:t>元</w:t>
            </w:r>
          </w:p>
        </w:tc>
        <w:tc>
          <w:tcPr>
            <w:tcW w:w="0" w:type="auto"/>
            <w:shd w:val="clear" w:color="auto" w:fill="F2F2F2"/>
            <w:vAlign w:val="center"/>
          </w:tcPr>
          <w:p w14:paraId="7C48625B" w14:textId="77777777" w:rsidR="004C63FE" w:rsidRDefault="00000000">
            <w:pPr>
              <w:spacing w:before="30" w:after="30"/>
            </w:pPr>
            <w:r>
              <w:rPr>
                <w:sz w:val="20"/>
                <w:szCs w:val="20"/>
              </w:rPr>
              <w:t xml:space="preserve">16 </w:t>
            </w:r>
            <w:r>
              <w:rPr>
                <w:sz w:val="20"/>
                <w:szCs w:val="20"/>
              </w:rPr>
              <w:t>人</w:t>
            </w:r>
            <w:r>
              <w:rPr>
                <w:sz w:val="20"/>
                <w:szCs w:val="20"/>
              </w:rPr>
              <w:t xml:space="preserve"> × </w:t>
            </w:r>
            <w:r>
              <w:rPr>
                <w:sz w:val="20"/>
                <w:szCs w:val="20"/>
              </w:rPr>
              <w:t>當季票價（約</w:t>
            </w:r>
            <w:r>
              <w:rPr>
                <w:sz w:val="20"/>
                <w:szCs w:val="20"/>
              </w:rPr>
              <w:t xml:space="preserve"> 4,100 </w:t>
            </w:r>
            <w:r>
              <w:rPr>
                <w:sz w:val="20"/>
                <w:szCs w:val="20"/>
              </w:rPr>
              <w:t>元</w:t>
            </w:r>
            <w:r>
              <w:rPr>
                <w:sz w:val="20"/>
                <w:szCs w:val="20"/>
              </w:rPr>
              <w:t>/</w:t>
            </w:r>
            <w:r>
              <w:rPr>
                <w:sz w:val="20"/>
                <w:szCs w:val="20"/>
              </w:rPr>
              <w:t>人）</w:t>
            </w:r>
          </w:p>
        </w:tc>
      </w:tr>
      <w:tr w:rsidR="004C63FE" w14:paraId="2A010171" w14:textId="77777777">
        <w:tblPrEx>
          <w:tblCellMar>
            <w:top w:w="0" w:type="dxa"/>
            <w:bottom w:w="0" w:type="dxa"/>
          </w:tblCellMar>
        </w:tblPrEx>
        <w:tc>
          <w:tcPr>
            <w:tcW w:w="0" w:type="auto"/>
            <w:vAlign w:val="center"/>
          </w:tcPr>
          <w:p w14:paraId="0C9AB447" w14:textId="77777777" w:rsidR="004C63FE" w:rsidRDefault="00000000">
            <w:pPr>
              <w:spacing w:before="30" w:after="30"/>
            </w:pPr>
            <w:r>
              <w:rPr>
                <w:sz w:val="20"/>
                <w:szCs w:val="20"/>
              </w:rPr>
              <w:lastRenderedPageBreak/>
              <w:t>離島間交通（船運）</w:t>
            </w:r>
          </w:p>
        </w:tc>
        <w:tc>
          <w:tcPr>
            <w:tcW w:w="0" w:type="auto"/>
            <w:vAlign w:val="center"/>
          </w:tcPr>
          <w:p w14:paraId="2602C337" w14:textId="77777777" w:rsidR="004C63FE" w:rsidRDefault="00000000">
            <w:pPr>
              <w:spacing w:before="30" w:after="30"/>
            </w:pPr>
            <w:r>
              <w:rPr>
                <w:sz w:val="20"/>
                <w:szCs w:val="20"/>
              </w:rPr>
              <w:t>連江縣教育處</w:t>
            </w:r>
          </w:p>
        </w:tc>
        <w:tc>
          <w:tcPr>
            <w:tcW w:w="0" w:type="auto"/>
            <w:vAlign w:val="center"/>
          </w:tcPr>
          <w:p w14:paraId="5307CA07" w14:textId="77777777" w:rsidR="004C63FE" w:rsidRDefault="00000000">
            <w:pPr>
              <w:spacing w:before="30" w:after="30"/>
            </w:pPr>
            <w:r>
              <w:rPr>
                <w:sz w:val="20"/>
                <w:szCs w:val="20"/>
              </w:rPr>
              <w:t xml:space="preserve">~6,400–20,800 </w:t>
            </w:r>
            <w:r>
              <w:rPr>
                <w:sz w:val="20"/>
                <w:szCs w:val="20"/>
              </w:rPr>
              <w:t>元</w:t>
            </w:r>
          </w:p>
        </w:tc>
        <w:tc>
          <w:tcPr>
            <w:tcW w:w="0" w:type="auto"/>
            <w:vAlign w:val="center"/>
          </w:tcPr>
          <w:p w14:paraId="6CDE5F75" w14:textId="77777777" w:rsidR="004C63FE" w:rsidRDefault="00000000">
            <w:pPr>
              <w:spacing w:before="30" w:after="30"/>
            </w:pPr>
            <w:r>
              <w:rPr>
                <w:sz w:val="20"/>
                <w:szCs w:val="20"/>
              </w:rPr>
              <w:t xml:space="preserve">16 </w:t>
            </w:r>
            <w:r>
              <w:rPr>
                <w:sz w:val="20"/>
                <w:szCs w:val="20"/>
              </w:rPr>
              <w:t>人</w:t>
            </w:r>
            <w:r>
              <w:rPr>
                <w:sz w:val="20"/>
                <w:szCs w:val="20"/>
              </w:rPr>
              <w:t xml:space="preserve"> × </w:t>
            </w:r>
            <w:r>
              <w:rPr>
                <w:sz w:val="20"/>
                <w:szCs w:val="20"/>
              </w:rPr>
              <w:t>南竿至東引或莒光</w:t>
            </w:r>
          </w:p>
        </w:tc>
      </w:tr>
      <w:tr w:rsidR="004C63FE" w14:paraId="3D7A9821" w14:textId="77777777">
        <w:tblPrEx>
          <w:tblCellMar>
            <w:top w:w="0" w:type="dxa"/>
            <w:bottom w:w="0" w:type="dxa"/>
          </w:tblCellMar>
        </w:tblPrEx>
        <w:tc>
          <w:tcPr>
            <w:tcW w:w="0" w:type="auto"/>
            <w:shd w:val="clear" w:color="auto" w:fill="F2F2F2"/>
            <w:vAlign w:val="center"/>
          </w:tcPr>
          <w:p w14:paraId="03A1224C" w14:textId="77777777" w:rsidR="004C63FE" w:rsidRDefault="00000000">
            <w:pPr>
              <w:spacing w:before="30" w:after="30"/>
            </w:pPr>
            <w:r>
              <w:rPr>
                <w:sz w:val="20"/>
                <w:szCs w:val="20"/>
              </w:rPr>
              <w:t>住宿費（</w:t>
            </w:r>
            <w:r>
              <w:rPr>
                <w:sz w:val="20"/>
                <w:szCs w:val="20"/>
              </w:rPr>
              <w:t xml:space="preserve">2 </w:t>
            </w:r>
            <w:r>
              <w:rPr>
                <w:sz w:val="20"/>
                <w:szCs w:val="20"/>
              </w:rPr>
              <w:t>晚）</w:t>
            </w:r>
          </w:p>
        </w:tc>
        <w:tc>
          <w:tcPr>
            <w:tcW w:w="0" w:type="auto"/>
            <w:shd w:val="clear" w:color="auto" w:fill="F2F2F2"/>
            <w:vAlign w:val="center"/>
          </w:tcPr>
          <w:p w14:paraId="57AD73B5" w14:textId="77777777" w:rsidR="004C63FE" w:rsidRDefault="00000000">
            <w:pPr>
              <w:spacing w:before="30" w:after="30"/>
            </w:pPr>
            <w:r>
              <w:rPr>
                <w:sz w:val="20"/>
                <w:szCs w:val="20"/>
              </w:rPr>
              <w:t>連江縣教育處</w:t>
            </w:r>
          </w:p>
        </w:tc>
        <w:tc>
          <w:tcPr>
            <w:tcW w:w="0" w:type="auto"/>
            <w:shd w:val="clear" w:color="auto" w:fill="F2F2F2"/>
            <w:vAlign w:val="center"/>
          </w:tcPr>
          <w:p w14:paraId="343CC623" w14:textId="77777777" w:rsidR="004C63FE" w:rsidRDefault="00000000">
            <w:pPr>
              <w:spacing w:before="30" w:after="30"/>
            </w:pPr>
            <w:r>
              <w:rPr>
                <w:sz w:val="20"/>
                <w:szCs w:val="20"/>
              </w:rPr>
              <w:t xml:space="preserve">~32,000–38,400 </w:t>
            </w:r>
            <w:r>
              <w:rPr>
                <w:sz w:val="20"/>
                <w:szCs w:val="20"/>
              </w:rPr>
              <w:t>元</w:t>
            </w:r>
          </w:p>
        </w:tc>
        <w:tc>
          <w:tcPr>
            <w:tcW w:w="0" w:type="auto"/>
            <w:shd w:val="clear" w:color="auto" w:fill="F2F2F2"/>
            <w:vAlign w:val="center"/>
          </w:tcPr>
          <w:p w14:paraId="1A8A0F53" w14:textId="77777777" w:rsidR="004C63FE" w:rsidRDefault="00000000">
            <w:pPr>
              <w:spacing w:before="30" w:after="30"/>
            </w:pPr>
            <w:r>
              <w:rPr>
                <w:sz w:val="20"/>
                <w:szCs w:val="20"/>
              </w:rPr>
              <w:t xml:space="preserve">16 </w:t>
            </w:r>
            <w:r>
              <w:rPr>
                <w:sz w:val="20"/>
                <w:szCs w:val="20"/>
              </w:rPr>
              <w:t>人</w:t>
            </w:r>
            <w:r>
              <w:rPr>
                <w:sz w:val="20"/>
                <w:szCs w:val="20"/>
              </w:rPr>
              <w:t xml:space="preserve"> × 2 </w:t>
            </w:r>
            <w:r>
              <w:rPr>
                <w:sz w:val="20"/>
                <w:szCs w:val="20"/>
              </w:rPr>
              <w:t>晚</w:t>
            </w:r>
            <w:r>
              <w:rPr>
                <w:sz w:val="20"/>
                <w:szCs w:val="20"/>
              </w:rPr>
              <w:t xml:space="preserve"> × 1,000–1,200 </w:t>
            </w:r>
            <w:r>
              <w:rPr>
                <w:sz w:val="20"/>
                <w:szCs w:val="20"/>
              </w:rPr>
              <w:t>元</w:t>
            </w:r>
            <w:r>
              <w:rPr>
                <w:sz w:val="20"/>
                <w:szCs w:val="20"/>
              </w:rPr>
              <w:t>/</w:t>
            </w:r>
            <w:r>
              <w:rPr>
                <w:sz w:val="20"/>
                <w:szCs w:val="20"/>
              </w:rPr>
              <w:t>晚</w:t>
            </w:r>
          </w:p>
        </w:tc>
      </w:tr>
      <w:tr w:rsidR="004C63FE" w14:paraId="38E2DE2F" w14:textId="77777777">
        <w:tblPrEx>
          <w:tblCellMar>
            <w:top w:w="0" w:type="dxa"/>
            <w:bottom w:w="0" w:type="dxa"/>
          </w:tblCellMar>
        </w:tblPrEx>
        <w:tc>
          <w:tcPr>
            <w:tcW w:w="0" w:type="auto"/>
            <w:vAlign w:val="center"/>
          </w:tcPr>
          <w:p w14:paraId="232AED93" w14:textId="77777777" w:rsidR="004C63FE" w:rsidRDefault="00000000">
            <w:pPr>
              <w:spacing w:before="30" w:after="30"/>
            </w:pPr>
            <w:r>
              <w:rPr>
                <w:b/>
                <w:bCs/>
                <w:sz w:val="20"/>
                <w:szCs w:val="20"/>
              </w:rPr>
              <w:t>政府年度直接支出小計</w:t>
            </w:r>
          </w:p>
        </w:tc>
        <w:tc>
          <w:tcPr>
            <w:tcW w:w="0" w:type="auto"/>
            <w:vAlign w:val="center"/>
          </w:tcPr>
          <w:p w14:paraId="40E8F419" w14:textId="77777777" w:rsidR="004C63FE" w:rsidRDefault="004C63FE">
            <w:pPr>
              <w:spacing w:before="30" w:after="30"/>
            </w:pPr>
          </w:p>
        </w:tc>
        <w:tc>
          <w:tcPr>
            <w:tcW w:w="0" w:type="auto"/>
            <w:vAlign w:val="center"/>
          </w:tcPr>
          <w:p w14:paraId="43E938CD" w14:textId="77777777" w:rsidR="004C63FE" w:rsidRDefault="00000000">
            <w:pPr>
              <w:spacing w:before="30" w:after="30"/>
            </w:pPr>
            <w:r>
              <w:rPr>
                <w:b/>
                <w:bCs/>
                <w:sz w:val="20"/>
                <w:szCs w:val="20"/>
              </w:rPr>
              <w:t>約</w:t>
            </w:r>
            <w:r>
              <w:rPr>
                <w:b/>
                <w:bCs/>
                <w:sz w:val="20"/>
                <w:szCs w:val="20"/>
              </w:rPr>
              <w:t xml:space="preserve"> 10–12 </w:t>
            </w:r>
            <w:r>
              <w:rPr>
                <w:b/>
                <w:bCs/>
                <w:sz w:val="20"/>
                <w:szCs w:val="20"/>
              </w:rPr>
              <w:t>萬元</w:t>
            </w:r>
          </w:p>
        </w:tc>
        <w:tc>
          <w:tcPr>
            <w:tcW w:w="0" w:type="auto"/>
            <w:vAlign w:val="center"/>
          </w:tcPr>
          <w:p w14:paraId="6534E284" w14:textId="77777777" w:rsidR="004C63FE" w:rsidRDefault="004C63FE">
            <w:pPr>
              <w:spacing w:before="30" w:after="30"/>
            </w:pPr>
          </w:p>
        </w:tc>
      </w:tr>
      <w:tr w:rsidR="004C63FE" w14:paraId="0780DA00" w14:textId="77777777">
        <w:tblPrEx>
          <w:tblCellMar>
            <w:top w:w="0" w:type="dxa"/>
            <w:bottom w:w="0" w:type="dxa"/>
          </w:tblCellMar>
        </w:tblPrEx>
        <w:tc>
          <w:tcPr>
            <w:tcW w:w="0" w:type="auto"/>
            <w:shd w:val="clear" w:color="auto" w:fill="F2F2F2"/>
            <w:vAlign w:val="center"/>
          </w:tcPr>
          <w:p w14:paraId="7272910E" w14:textId="77777777" w:rsidR="004C63FE" w:rsidRDefault="00000000">
            <w:pPr>
              <w:spacing w:before="30" w:after="30"/>
            </w:pPr>
            <w:r>
              <w:rPr>
                <w:sz w:val="20"/>
                <w:szCs w:val="20"/>
              </w:rPr>
              <w:t>鏡片與鏡架耗材</w:t>
            </w:r>
          </w:p>
        </w:tc>
        <w:tc>
          <w:tcPr>
            <w:tcW w:w="0" w:type="auto"/>
            <w:shd w:val="clear" w:color="auto" w:fill="F2F2F2"/>
            <w:vAlign w:val="center"/>
          </w:tcPr>
          <w:p w14:paraId="3033BA14" w14:textId="77777777" w:rsidR="004C63FE" w:rsidRDefault="00000000">
            <w:pPr>
              <w:spacing w:before="30" w:after="30"/>
            </w:pPr>
            <w:r>
              <w:rPr>
                <w:sz w:val="20"/>
                <w:szCs w:val="20"/>
              </w:rPr>
              <w:t>臺灣視光視力保健學會</w:t>
            </w:r>
          </w:p>
        </w:tc>
        <w:tc>
          <w:tcPr>
            <w:tcW w:w="0" w:type="auto"/>
            <w:shd w:val="clear" w:color="auto" w:fill="F2F2F2"/>
            <w:vAlign w:val="center"/>
          </w:tcPr>
          <w:p w14:paraId="4B764BA2" w14:textId="77777777" w:rsidR="004C63FE" w:rsidRDefault="00000000">
            <w:pPr>
              <w:spacing w:before="30" w:after="30"/>
            </w:pPr>
            <w:r>
              <w:rPr>
                <w:sz w:val="20"/>
                <w:szCs w:val="20"/>
              </w:rPr>
              <w:t xml:space="preserve">~45,000–60,000 </w:t>
            </w:r>
            <w:r>
              <w:rPr>
                <w:sz w:val="20"/>
                <w:szCs w:val="20"/>
              </w:rPr>
              <w:t>元</w:t>
            </w:r>
          </w:p>
        </w:tc>
        <w:tc>
          <w:tcPr>
            <w:tcW w:w="0" w:type="auto"/>
            <w:shd w:val="clear" w:color="auto" w:fill="F2F2F2"/>
            <w:vAlign w:val="center"/>
          </w:tcPr>
          <w:p w14:paraId="144072CD" w14:textId="77777777" w:rsidR="004C63FE" w:rsidRDefault="00000000">
            <w:pPr>
              <w:spacing w:before="30" w:after="30"/>
            </w:pPr>
            <w:r>
              <w:rPr>
                <w:sz w:val="20"/>
                <w:szCs w:val="20"/>
              </w:rPr>
              <w:t>約</w:t>
            </w:r>
            <w:r>
              <w:rPr>
                <w:sz w:val="20"/>
                <w:szCs w:val="20"/>
              </w:rPr>
              <w:t xml:space="preserve"> 30 </w:t>
            </w:r>
            <w:r>
              <w:rPr>
                <w:sz w:val="20"/>
                <w:szCs w:val="20"/>
              </w:rPr>
              <w:t>副</w:t>
            </w:r>
            <w:r>
              <w:rPr>
                <w:sz w:val="20"/>
                <w:szCs w:val="20"/>
              </w:rPr>
              <w:t>/</w:t>
            </w:r>
            <w:r>
              <w:rPr>
                <w:sz w:val="20"/>
                <w:szCs w:val="20"/>
              </w:rPr>
              <w:t>年，含單焦點鏡片與鏡架</w:t>
            </w:r>
          </w:p>
        </w:tc>
      </w:tr>
      <w:tr w:rsidR="004C63FE" w14:paraId="3EC5E1AE" w14:textId="77777777">
        <w:tblPrEx>
          <w:tblCellMar>
            <w:top w:w="0" w:type="dxa"/>
            <w:bottom w:w="0" w:type="dxa"/>
          </w:tblCellMar>
        </w:tblPrEx>
        <w:tc>
          <w:tcPr>
            <w:tcW w:w="0" w:type="auto"/>
            <w:vAlign w:val="center"/>
          </w:tcPr>
          <w:p w14:paraId="7537D5F6" w14:textId="77777777" w:rsidR="004C63FE" w:rsidRDefault="00000000">
            <w:pPr>
              <w:spacing w:before="30" w:after="30"/>
            </w:pPr>
            <w:r>
              <w:rPr>
                <w:sz w:val="20"/>
                <w:szCs w:val="20"/>
              </w:rPr>
              <w:t>驗光人員專業服務（無酬志工）</w:t>
            </w:r>
          </w:p>
        </w:tc>
        <w:tc>
          <w:tcPr>
            <w:tcW w:w="0" w:type="auto"/>
            <w:vAlign w:val="center"/>
          </w:tcPr>
          <w:p w14:paraId="7A1845C2" w14:textId="77777777" w:rsidR="004C63FE" w:rsidRDefault="00000000">
            <w:pPr>
              <w:spacing w:before="30" w:after="30"/>
            </w:pPr>
            <w:r>
              <w:rPr>
                <w:sz w:val="20"/>
                <w:szCs w:val="20"/>
              </w:rPr>
              <w:t>志工自行吸收</w:t>
            </w:r>
          </w:p>
        </w:tc>
        <w:tc>
          <w:tcPr>
            <w:tcW w:w="0" w:type="auto"/>
            <w:vAlign w:val="center"/>
          </w:tcPr>
          <w:p w14:paraId="10392C60" w14:textId="77777777" w:rsidR="004C63FE" w:rsidRDefault="00000000">
            <w:pPr>
              <w:spacing w:before="30" w:after="30"/>
            </w:pPr>
            <w:r>
              <w:rPr>
                <w:sz w:val="20"/>
                <w:szCs w:val="20"/>
              </w:rPr>
              <w:t>公定等值約</w:t>
            </w:r>
            <w:r>
              <w:rPr>
                <w:sz w:val="20"/>
                <w:szCs w:val="20"/>
              </w:rPr>
              <w:t xml:space="preserve"> </w:t>
            </w:r>
            <w:r>
              <w:rPr>
                <w:b/>
                <w:bCs/>
                <w:sz w:val="20"/>
                <w:szCs w:val="20"/>
              </w:rPr>
              <w:t xml:space="preserve">144,000 </w:t>
            </w:r>
            <w:r>
              <w:rPr>
                <w:b/>
                <w:bCs/>
                <w:sz w:val="20"/>
                <w:szCs w:val="20"/>
              </w:rPr>
              <w:t>元</w:t>
            </w:r>
          </w:p>
        </w:tc>
        <w:tc>
          <w:tcPr>
            <w:tcW w:w="0" w:type="auto"/>
            <w:vAlign w:val="center"/>
          </w:tcPr>
          <w:p w14:paraId="7C680CF4" w14:textId="77777777" w:rsidR="004C63FE" w:rsidRDefault="00000000">
            <w:pPr>
              <w:spacing w:before="30" w:after="30"/>
            </w:pPr>
            <w:r>
              <w:rPr>
                <w:sz w:val="20"/>
                <w:szCs w:val="20"/>
              </w:rPr>
              <w:t xml:space="preserve">16 </w:t>
            </w:r>
            <w:r>
              <w:rPr>
                <w:sz w:val="20"/>
                <w:szCs w:val="20"/>
              </w:rPr>
              <w:t>人</w:t>
            </w:r>
            <w:r>
              <w:rPr>
                <w:sz w:val="20"/>
                <w:szCs w:val="20"/>
              </w:rPr>
              <w:t xml:space="preserve"> × 3 </w:t>
            </w:r>
            <w:r>
              <w:rPr>
                <w:sz w:val="20"/>
                <w:szCs w:val="20"/>
              </w:rPr>
              <w:t>天</w:t>
            </w:r>
            <w:r>
              <w:rPr>
                <w:sz w:val="20"/>
                <w:szCs w:val="20"/>
              </w:rPr>
              <w:t xml:space="preserve"> × 3,000 </w:t>
            </w:r>
            <w:r>
              <w:rPr>
                <w:sz w:val="20"/>
                <w:szCs w:val="20"/>
              </w:rPr>
              <w:t>元</w:t>
            </w:r>
            <w:r>
              <w:rPr>
                <w:sz w:val="20"/>
                <w:szCs w:val="20"/>
              </w:rPr>
              <w:t>/</w:t>
            </w:r>
            <w:r>
              <w:rPr>
                <w:sz w:val="20"/>
                <w:szCs w:val="20"/>
              </w:rPr>
              <w:t>天</w:t>
            </w:r>
          </w:p>
        </w:tc>
      </w:tr>
    </w:tbl>
    <w:p w14:paraId="486F9F8F" w14:textId="77777777" w:rsidR="004C63FE" w:rsidRDefault="004C63FE">
      <w:pPr>
        <w:spacing w:after="160"/>
      </w:pPr>
    </w:p>
    <w:p w14:paraId="7D49187F" w14:textId="5C5BA5ED" w:rsidR="004C63FE" w:rsidRDefault="00000000">
      <w:pPr>
        <w:spacing w:before="60" w:after="60"/>
      </w:pPr>
      <w:r>
        <w:rPr>
          <w:i/>
          <w:iCs/>
          <w:sz w:val="18"/>
          <w:szCs w:val="18"/>
        </w:rPr>
        <w:t>備註：志工服務等值依</w:t>
      </w:r>
      <w:r>
        <w:rPr>
          <w:i/>
          <w:iCs/>
          <w:sz w:val="18"/>
          <w:szCs w:val="18"/>
        </w:rPr>
        <w:t xml:space="preserve"> 114 </w:t>
      </w:r>
      <w:r>
        <w:rPr>
          <w:i/>
          <w:iCs/>
          <w:sz w:val="18"/>
          <w:szCs w:val="18"/>
        </w:rPr>
        <w:t>年度新北市</w:t>
      </w:r>
      <w:r w:rsidR="008B147F">
        <w:rPr>
          <w:rFonts w:hint="eastAsia"/>
          <w:i/>
          <w:iCs/>
          <w:sz w:val="18"/>
          <w:szCs w:val="18"/>
        </w:rPr>
        <w:t>驗光師公會</w:t>
      </w:r>
      <w:r>
        <w:rPr>
          <w:i/>
          <w:iCs/>
          <w:sz w:val="18"/>
          <w:szCs w:val="18"/>
        </w:rPr>
        <w:t>視力篩檢活動出席費標準估算（視力篩檢</w:t>
      </w:r>
      <w:r>
        <w:rPr>
          <w:i/>
          <w:iCs/>
          <w:sz w:val="18"/>
          <w:szCs w:val="18"/>
        </w:rPr>
        <w:t xml:space="preserve"> 8 </w:t>
      </w:r>
      <w:r>
        <w:rPr>
          <w:i/>
          <w:iCs/>
          <w:sz w:val="18"/>
          <w:szCs w:val="18"/>
        </w:rPr>
        <w:t>小時</w:t>
      </w:r>
      <w:r>
        <w:rPr>
          <w:i/>
          <w:iCs/>
          <w:sz w:val="18"/>
          <w:szCs w:val="18"/>
        </w:rPr>
        <w:t xml:space="preserve"> 3,000 </w:t>
      </w:r>
      <w:r>
        <w:rPr>
          <w:i/>
          <w:iCs/>
          <w:sz w:val="18"/>
          <w:szCs w:val="18"/>
        </w:rPr>
        <w:t>元、視力講座每小時</w:t>
      </w:r>
      <w:r>
        <w:rPr>
          <w:i/>
          <w:iCs/>
          <w:sz w:val="18"/>
          <w:szCs w:val="18"/>
        </w:rPr>
        <w:t xml:space="preserve"> 2,000 </w:t>
      </w:r>
      <w:r>
        <w:rPr>
          <w:i/>
          <w:iCs/>
          <w:sz w:val="18"/>
          <w:szCs w:val="18"/>
        </w:rPr>
        <w:t>元），此為費率之等值計算，非實際支出。</w:t>
      </w:r>
    </w:p>
    <w:p w14:paraId="783DC163" w14:textId="77777777" w:rsidR="004C63FE" w:rsidRDefault="00000000">
      <w:pPr>
        <w:spacing w:before="120" w:after="120"/>
        <w:ind w:firstLine="576"/>
      </w:pPr>
      <w:r>
        <w:t>綜合而言，連江縣教育處每年以約</w:t>
      </w:r>
      <w:r>
        <w:t xml:space="preserve"> </w:t>
      </w:r>
      <w:r>
        <w:rPr>
          <w:b/>
          <w:bCs/>
        </w:rPr>
        <w:t xml:space="preserve">10–12 </w:t>
      </w:r>
      <w:r>
        <w:rPr>
          <w:b/>
          <w:bCs/>
        </w:rPr>
        <w:t>萬元</w:t>
      </w:r>
      <w:r>
        <w:t xml:space="preserve"> </w:t>
      </w:r>
      <w:r>
        <w:t>的直接經費，即可為離島學童提供涵蓋逾</w:t>
      </w:r>
      <w:r>
        <w:t xml:space="preserve"> 10 </w:t>
      </w:r>
      <w:r>
        <w:t>項視功能評估與屈光矯正之完整服務。若以年均配鏡約</w:t>
      </w:r>
      <w:r>
        <w:t xml:space="preserve"> 30 </w:t>
      </w:r>
      <w:r>
        <w:t>名學童計算，每位受惠學童之政府單位成本僅約</w:t>
      </w:r>
      <w:r>
        <w:t xml:space="preserve"> </w:t>
      </w:r>
      <w:r>
        <w:rPr>
          <w:b/>
          <w:bCs/>
        </w:rPr>
        <w:t xml:space="preserve">3,300–4,000 </w:t>
      </w:r>
      <w:r>
        <w:rPr>
          <w:b/>
          <w:bCs/>
        </w:rPr>
        <w:t>元</w:t>
      </w:r>
      <w:r>
        <w:t>。此一極具成本效益之模式，其關鍵在於學會長期動員無酬專業志工</w:t>
      </w:r>
      <w:r>
        <w:t xml:space="preserve">——16 </w:t>
      </w:r>
      <w:r>
        <w:t>名驗光人員每年投入之專業服務，依政府公定費率估算等值高達</w:t>
      </w:r>
      <w:r>
        <w:t xml:space="preserve"> </w:t>
      </w:r>
      <w:r>
        <w:rPr>
          <w:b/>
          <w:bCs/>
        </w:rPr>
        <w:t xml:space="preserve">14.4 </w:t>
      </w:r>
      <w:r>
        <w:rPr>
          <w:b/>
          <w:bCs/>
        </w:rPr>
        <w:t>萬元</w:t>
      </w:r>
      <w:r>
        <w:t>，與政府之直接支出相當，充分體現「專業志工驅動、政府資源槓桿」的公私協力精神。</w:t>
      </w:r>
    </w:p>
    <w:p w14:paraId="7430D98A" w14:textId="77777777" w:rsidR="004C63FE" w:rsidRDefault="00000000">
      <w:pPr>
        <w:pStyle w:val="3"/>
        <w:spacing w:before="280" w:after="140"/>
      </w:pPr>
      <w:r>
        <w:t xml:space="preserve">3.3 </w:t>
      </w:r>
      <w:r>
        <w:t>服務成效</w:t>
      </w:r>
      <w:r>
        <w:t xml:space="preserve"> ── </w:t>
      </w:r>
      <w:r>
        <w:t>臺灣視光視力保健學會</w:t>
      </w:r>
      <w:r>
        <w:t xml:space="preserve"> </w:t>
      </w:r>
      <w:r>
        <w:t>執筆</w:t>
      </w:r>
    </w:p>
    <w:p w14:paraId="1116769A" w14:textId="77777777" w:rsidR="004C63FE" w:rsidRDefault="00000000">
      <w:pPr>
        <w:pStyle w:val="4"/>
        <w:spacing w:before="240" w:after="120"/>
      </w:pPr>
      <w:r>
        <w:t xml:space="preserve">3.3.1 </w:t>
      </w:r>
      <w:r>
        <w:t>量化服務規模</w:t>
      </w:r>
    </w:p>
    <w:p w14:paraId="25D0A1FA" w14:textId="77777777" w:rsidR="004C63FE" w:rsidRDefault="00000000">
      <w:pPr>
        <w:spacing w:before="120" w:after="120"/>
        <w:ind w:firstLine="576"/>
      </w:pPr>
      <w:r>
        <w:t>在服務量的評估上，本研究區分「接受視力與視功能檢查之學童人數」與「實際完成配鏡之學童人數」兩項指標。前者反映計畫在學校健康服務層面的涵蓋度，後者呈現屈光矯正介入的實際產出。由於早期電子紀錄因電腦系統毀損而無法完整重建，目前僅能呈現最近四學年度之配鏡資料。</w:t>
      </w:r>
    </w:p>
    <w:p w14:paraId="4FE2B7DB" w14:textId="77777777" w:rsidR="004C63FE" w:rsidRDefault="00000000">
      <w:pPr>
        <w:spacing w:before="120" w:after="120"/>
        <w:ind w:firstLine="576"/>
      </w:pPr>
      <w:r>
        <w:t xml:space="preserve">111 </w:t>
      </w:r>
      <w:r>
        <w:t>至</w:t>
      </w:r>
      <w:r>
        <w:t xml:space="preserve"> 114 </w:t>
      </w:r>
      <w:r>
        <w:t>學年度間，本學會在連江縣各島實際完成配鏡學童共</w:t>
      </w:r>
      <w:r>
        <w:t xml:space="preserve"> 118 </w:t>
      </w:r>
      <w:r>
        <w:t>人，</w:t>
      </w:r>
      <w:r>
        <w:lastRenderedPageBreak/>
        <w:t>各年分別為</w:t>
      </w:r>
      <w:r>
        <w:t xml:space="preserve"> 28</w:t>
      </w:r>
      <w:r>
        <w:t>、</w:t>
      </w:r>
      <w:r>
        <w:t>30</w:t>
      </w:r>
      <w:r>
        <w:t>、</w:t>
      </w:r>
      <w:r>
        <w:t xml:space="preserve">33 </w:t>
      </w:r>
      <w:r>
        <w:t>與</w:t>
      </w:r>
      <w:r>
        <w:t xml:space="preserve"> 27 </w:t>
      </w:r>
      <w:r>
        <w:t>人，平均每年約</w:t>
      </w:r>
      <w:r>
        <w:t xml:space="preserve"> 29–30 </w:t>
      </w:r>
      <w:r>
        <w:t>人（見表</w:t>
      </w:r>
      <w:r>
        <w:t>1</w:t>
      </w:r>
      <w:r>
        <w:t>及圖</w:t>
      </w:r>
      <w:r>
        <w:t>1</w:t>
      </w:r>
      <w:r>
        <w:t>）。依地區別觀之，東引為最主要服務據點（四年合計</w:t>
      </w:r>
      <w:r>
        <w:t xml:space="preserve"> 67 </w:t>
      </w:r>
      <w:r>
        <w:t>人），其次為莒光（</w:t>
      </w:r>
      <w:r>
        <w:t xml:space="preserve">35 </w:t>
      </w:r>
      <w:r>
        <w:t>人），南竿與北竿合計</w:t>
      </w:r>
      <w:r>
        <w:t xml:space="preserve"> 16 </w:t>
      </w:r>
      <w:r>
        <w:t>人。</w:t>
      </w:r>
    </w:p>
    <w:p w14:paraId="47B423B3" w14:textId="77777777" w:rsidR="004C63FE" w:rsidRDefault="00000000">
      <w:pPr>
        <w:spacing w:before="120" w:after="120"/>
        <w:ind w:firstLine="576"/>
      </w:pPr>
      <w:r>
        <w:t>此一配鏡人數明顯低於同期接受檢查之學童人數，反映本計畫採取保守且個別化的配鏡決策立場：僅針對矯正確有必要性之學童配鏡，對輕度屈光不正或無明顯視力影響者，優先透過衛教與行為調整介入，避免過度矯正，符合本會所倡議之階梯式處置原則（臺灣視光視力保健學會，</w:t>
      </w:r>
      <w:r>
        <w:t>2026</w:t>
      </w:r>
      <w:r>
        <w:t>，未發表手稿）。</w:t>
      </w:r>
    </w:p>
    <w:p w14:paraId="64CA6D61" w14:textId="77777777" w:rsidR="004C63FE" w:rsidRDefault="00000000">
      <w:pPr>
        <w:spacing w:before="120" w:after="120"/>
        <w:ind w:firstLine="576"/>
      </w:pPr>
      <w:r>
        <w:rPr>
          <w:b/>
          <w:bCs/>
        </w:rPr>
        <w:t>表</w:t>
      </w:r>
      <w:r>
        <w:rPr>
          <w:b/>
          <w:bCs/>
        </w:rPr>
        <w:t>1</w:t>
      </w:r>
      <w:r>
        <w:rPr>
          <w:b/>
          <w:bCs/>
        </w:rPr>
        <w:t>：連江縣各島學童配鏡人數統計（</w:t>
      </w:r>
      <w:r>
        <w:rPr>
          <w:b/>
          <w:bCs/>
        </w:rPr>
        <w:t xml:space="preserve">111–114 </w:t>
      </w:r>
      <w:r>
        <w:rPr>
          <w:b/>
          <w:bCs/>
        </w:rPr>
        <w:t>學年度）</w:t>
      </w:r>
    </w:p>
    <w:tbl>
      <w:tblPr>
        <w:tblW w:w="5000" w:type="pct"/>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CellMar>
          <w:left w:w="10" w:type="dxa"/>
          <w:right w:w="10" w:type="dxa"/>
        </w:tblCellMar>
        <w:tblLook w:val="04A0" w:firstRow="1" w:lastRow="0" w:firstColumn="1" w:lastColumn="0" w:noHBand="0" w:noVBand="1"/>
      </w:tblPr>
      <w:tblGrid>
        <w:gridCol w:w="1560"/>
        <w:gridCol w:w="1058"/>
        <w:gridCol w:w="1058"/>
        <w:gridCol w:w="2565"/>
        <w:gridCol w:w="2063"/>
      </w:tblGrid>
      <w:tr w:rsidR="004C63FE" w14:paraId="3CA2E66F" w14:textId="77777777">
        <w:tblPrEx>
          <w:tblCellMar>
            <w:top w:w="0" w:type="dxa"/>
            <w:bottom w:w="0" w:type="dxa"/>
          </w:tblCellMar>
        </w:tblPrEx>
        <w:trPr>
          <w:tblHeader/>
        </w:trPr>
        <w:tc>
          <w:tcPr>
            <w:tcW w:w="0" w:type="auto"/>
            <w:shd w:val="clear" w:color="auto" w:fill="D9E2F3"/>
            <w:vAlign w:val="center"/>
          </w:tcPr>
          <w:p w14:paraId="44D31CE5" w14:textId="77777777" w:rsidR="004C63FE" w:rsidRDefault="00000000">
            <w:pPr>
              <w:spacing w:before="40" w:after="40"/>
              <w:jc w:val="center"/>
            </w:pPr>
            <w:r>
              <w:rPr>
                <w:b/>
                <w:bCs/>
                <w:sz w:val="20"/>
                <w:szCs w:val="20"/>
              </w:rPr>
              <w:t>學年度</w:t>
            </w:r>
          </w:p>
        </w:tc>
        <w:tc>
          <w:tcPr>
            <w:tcW w:w="0" w:type="auto"/>
            <w:shd w:val="clear" w:color="auto" w:fill="D9E2F3"/>
            <w:vAlign w:val="center"/>
          </w:tcPr>
          <w:p w14:paraId="7208644A" w14:textId="77777777" w:rsidR="004C63FE" w:rsidRDefault="00000000">
            <w:pPr>
              <w:spacing w:before="40" w:after="40"/>
              <w:jc w:val="center"/>
            </w:pPr>
            <w:r>
              <w:rPr>
                <w:b/>
                <w:bCs/>
                <w:sz w:val="20"/>
                <w:szCs w:val="20"/>
              </w:rPr>
              <w:t>莒光</w:t>
            </w:r>
          </w:p>
        </w:tc>
        <w:tc>
          <w:tcPr>
            <w:tcW w:w="0" w:type="auto"/>
            <w:shd w:val="clear" w:color="auto" w:fill="D9E2F3"/>
            <w:vAlign w:val="center"/>
          </w:tcPr>
          <w:p w14:paraId="46FC68B0" w14:textId="77777777" w:rsidR="004C63FE" w:rsidRDefault="00000000">
            <w:pPr>
              <w:spacing w:before="40" w:after="40"/>
              <w:jc w:val="center"/>
            </w:pPr>
            <w:r>
              <w:rPr>
                <w:b/>
                <w:bCs/>
                <w:sz w:val="20"/>
                <w:szCs w:val="20"/>
              </w:rPr>
              <w:t>東引</w:t>
            </w:r>
          </w:p>
        </w:tc>
        <w:tc>
          <w:tcPr>
            <w:tcW w:w="0" w:type="auto"/>
            <w:shd w:val="clear" w:color="auto" w:fill="D9E2F3"/>
            <w:vAlign w:val="center"/>
          </w:tcPr>
          <w:p w14:paraId="5C4900E0" w14:textId="77777777" w:rsidR="004C63FE" w:rsidRDefault="00000000">
            <w:pPr>
              <w:spacing w:before="40" w:after="40"/>
              <w:jc w:val="center"/>
            </w:pPr>
            <w:r>
              <w:rPr>
                <w:b/>
                <w:bCs/>
                <w:sz w:val="20"/>
                <w:szCs w:val="20"/>
              </w:rPr>
              <w:t>南竿／北竿</w:t>
            </w:r>
          </w:p>
        </w:tc>
        <w:tc>
          <w:tcPr>
            <w:tcW w:w="0" w:type="auto"/>
            <w:shd w:val="clear" w:color="auto" w:fill="D9E2F3"/>
            <w:vAlign w:val="center"/>
          </w:tcPr>
          <w:p w14:paraId="77B38283" w14:textId="77777777" w:rsidR="004C63FE" w:rsidRDefault="00000000">
            <w:pPr>
              <w:spacing w:before="40" w:after="40"/>
              <w:jc w:val="center"/>
            </w:pPr>
            <w:r>
              <w:rPr>
                <w:b/>
                <w:bCs/>
                <w:sz w:val="20"/>
                <w:szCs w:val="20"/>
              </w:rPr>
              <w:t>年度總計</w:t>
            </w:r>
          </w:p>
        </w:tc>
      </w:tr>
      <w:tr w:rsidR="004C63FE" w14:paraId="6CAF47E8" w14:textId="77777777">
        <w:tblPrEx>
          <w:tblCellMar>
            <w:top w:w="0" w:type="dxa"/>
            <w:bottom w:w="0" w:type="dxa"/>
          </w:tblCellMar>
        </w:tblPrEx>
        <w:tc>
          <w:tcPr>
            <w:tcW w:w="0" w:type="auto"/>
            <w:shd w:val="clear" w:color="auto" w:fill="F2F2F2"/>
            <w:vAlign w:val="center"/>
          </w:tcPr>
          <w:p w14:paraId="506EFA21" w14:textId="77777777" w:rsidR="004C63FE" w:rsidRDefault="00000000">
            <w:pPr>
              <w:spacing w:before="30" w:after="30"/>
            </w:pPr>
            <w:r>
              <w:rPr>
                <w:sz w:val="20"/>
                <w:szCs w:val="20"/>
              </w:rPr>
              <w:t>111</w:t>
            </w:r>
          </w:p>
        </w:tc>
        <w:tc>
          <w:tcPr>
            <w:tcW w:w="0" w:type="auto"/>
            <w:shd w:val="clear" w:color="auto" w:fill="F2F2F2"/>
            <w:vAlign w:val="center"/>
          </w:tcPr>
          <w:p w14:paraId="4C7E9A9B" w14:textId="77777777" w:rsidR="004C63FE" w:rsidRDefault="00000000">
            <w:pPr>
              <w:spacing w:before="30" w:after="30"/>
            </w:pPr>
            <w:r>
              <w:rPr>
                <w:sz w:val="20"/>
                <w:szCs w:val="20"/>
              </w:rPr>
              <w:t>10</w:t>
            </w:r>
          </w:p>
        </w:tc>
        <w:tc>
          <w:tcPr>
            <w:tcW w:w="0" w:type="auto"/>
            <w:shd w:val="clear" w:color="auto" w:fill="F2F2F2"/>
            <w:vAlign w:val="center"/>
          </w:tcPr>
          <w:p w14:paraId="2FFE0540" w14:textId="77777777" w:rsidR="004C63FE" w:rsidRDefault="00000000">
            <w:pPr>
              <w:spacing w:before="30" w:after="30"/>
            </w:pPr>
            <w:r>
              <w:rPr>
                <w:sz w:val="20"/>
                <w:szCs w:val="20"/>
              </w:rPr>
              <w:t>13</w:t>
            </w:r>
          </w:p>
        </w:tc>
        <w:tc>
          <w:tcPr>
            <w:tcW w:w="0" w:type="auto"/>
            <w:shd w:val="clear" w:color="auto" w:fill="F2F2F2"/>
            <w:vAlign w:val="center"/>
          </w:tcPr>
          <w:p w14:paraId="3F1C3307" w14:textId="77777777" w:rsidR="004C63FE" w:rsidRDefault="00000000">
            <w:pPr>
              <w:spacing w:before="30" w:after="30"/>
            </w:pPr>
            <w:r>
              <w:rPr>
                <w:sz w:val="20"/>
                <w:szCs w:val="20"/>
              </w:rPr>
              <w:t>5</w:t>
            </w:r>
          </w:p>
        </w:tc>
        <w:tc>
          <w:tcPr>
            <w:tcW w:w="0" w:type="auto"/>
            <w:shd w:val="clear" w:color="auto" w:fill="F2F2F2"/>
            <w:vAlign w:val="center"/>
          </w:tcPr>
          <w:p w14:paraId="37DE7806" w14:textId="77777777" w:rsidR="004C63FE" w:rsidRDefault="00000000">
            <w:pPr>
              <w:spacing w:before="30" w:after="30"/>
            </w:pPr>
            <w:r>
              <w:rPr>
                <w:sz w:val="20"/>
                <w:szCs w:val="20"/>
              </w:rPr>
              <w:t>28</w:t>
            </w:r>
          </w:p>
        </w:tc>
      </w:tr>
      <w:tr w:rsidR="004C63FE" w14:paraId="1F4606C4" w14:textId="77777777">
        <w:tblPrEx>
          <w:tblCellMar>
            <w:top w:w="0" w:type="dxa"/>
            <w:bottom w:w="0" w:type="dxa"/>
          </w:tblCellMar>
        </w:tblPrEx>
        <w:tc>
          <w:tcPr>
            <w:tcW w:w="0" w:type="auto"/>
            <w:vAlign w:val="center"/>
          </w:tcPr>
          <w:p w14:paraId="1B66854C" w14:textId="77777777" w:rsidR="004C63FE" w:rsidRDefault="00000000">
            <w:pPr>
              <w:spacing w:before="30" w:after="30"/>
            </w:pPr>
            <w:r>
              <w:rPr>
                <w:sz w:val="20"/>
                <w:szCs w:val="20"/>
              </w:rPr>
              <w:t>112</w:t>
            </w:r>
          </w:p>
        </w:tc>
        <w:tc>
          <w:tcPr>
            <w:tcW w:w="0" w:type="auto"/>
            <w:vAlign w:val="center"/>
          </w:tcPr>
          <w:p w14:paraId="47146B62" w14:textId="77777777" w:rsidR="004C63FE" w:rsidRDefault="00000000">
            <w:pPr>
              <w:spacing w:before="30" w:after="30"/>
            </w:pPr>
            <w:r>
              <w:rPr>
                <w:sz w:val="20"/>
                <w:szCs w:val="20"/>
              </w:rPr>
              <w:t>7</w:t>
            </w:r>
          </w:p>
        </w:tc>
        <w:tc>
          <w:tcPr>
            <w:tcW w:w="0" w:type="auto"/>
            <w:vAlign w:val="center"/>
          </w:tcPr>
          <w:p w14:paraId="75685FF9" w14:textId="77777777" w:rsidR="004C63FE" w:rsidRDefault="00000000">
            <w:pPr>
              <w:spacing w:before="30" w:after="30"/>
            </w:pPr>
            <w:r>
              <w:rPr>
                <w:sz w:val="20"/>
                <w:szCs w:val="20"/>
              </w:rPr>
              <w:t>22</w:t>
            </w:r>
          </w:p>
        </w:tc>
        <w:tc>
          <w:tcPr>
            <w:tcW w:w="0" w:type="auto"/>
            <w:vAlign w:val="center"/>
          </w:tcPr>
          <w:p w14:paraId="4036B756" w14:textId="77777777" w:rsidR="004C63FE" w:rsidRDefault="00000000">
            <w:pPr>
              <w:spacing w:before="30" w:after="30"/>
            </w:pPr>
            <w:r>
              <w:rPr>
                <w:sz w:val="20"/>
                <w:szCs w:val="20"/>
              </w:rPr>
              <w:t>1</w:t>
            </w:r>
          </w:p>
        </w:tc>
        <w:tc>
          <w:tcPr>
            <w:tcW w:w="0" w:type="auto"/>
            <w:vAlign w:val="center"/>
          </w:tcPr>
          <w:p w14:paraId="0E243D08" w14:textId="77777777" w:rsidR="004C63FE" w:rsidRDefault="00000000">
            <w:pPr>
              <w:spacing w:before="30" w:after="30"/>
            </w:pPr>
            <w:r>
              <w:rPr>
                <w:sz w:val="20"/>
                <w:szCs w:val="20"/>
              </w:rPr>
              <w:t>30</w:t>
            </w:r>
          </w:p>
        </w:tc>
      </w:tr>
      <w:tr w:rsidR="004C63FE" w14:paraId="600B20D0" w14:textId="77777777">
        <w:tblPrEx>
          <w:tblCellMar>
            <w:top w:w="0" w:type="dxa"/>
            <w:bottom w:w="0" w:type="dxa"/>
          </w:tblCellMar>
        </w:tblPrEx>
        <w:tc>
          <w:tcPr>
            <w:tcW w:w="0" w:type="auto"/>
            <w:shd w:val="clear" w:color="auto" w:fill="F2F2F2"/>
            <w:vAlign w:val="center"/>
          </w:tcPr>
          <w:p w14:paraId="5C7E6325" w14:textId="77777777" w:rsidR="004C63FE" w:rsidRDefault="00000000">
            <w:pPr>
              <w:spacing w:before="30" w:after="30"/>
            </w:pPr>
            <w:r>
              <w:rPr>
                <w:sz w:val="20"/>
                <w:szCs w:val="20"/>
              </w:rPr>
              <w:t>113</w:t>
            </w:r>
          </w:p>
        </w:tc>
        <w:tc>
          <w:tcPr>
            <w:tcW w:w="0" w:type="auto"/>
            <w:shd w:val="clear" w:color="auto" w:fill="F2F2F2"/>
            <w:vAlign w:val="center"/>
          </w:tcPr>
          <w:p w14:paraId="77AE6964" w14:textId="77777777" w:rsidR="004C63FE" w:rsidRDefault="00000000">
            <w:pPr>
              <w:spacing w:before="30" w:after="30"/>
            </w:pPr>
            <w:r>
              <w:rPr>
                <w:sz w:val="20"/>
                <w:szCs w:val="20"/>
              </w:rPr>
              <w:t>9</w:t>
            </w:r>
          </w:p>
        </w:tc>
        <w:tc>
          <w:tcPr>
            <w:tcW w:w="0" w:type="auto"/>
            <w:shd w:val="clear" w:color="auto" w:fill="F2F2F2"/>
            <w:vAlign w:val="center"/>
          </w:tcPr>
          <w:p w14:paraId="790E1131" w14:textId="77777777" w:rsidR="004C63FE" w:rsidRDefault="00000000">
            <w:pPr>
              <w:spacing w:before="30" w:after="30"/>
            </w:pPr>
            <w:r>
              <w:rPr>
                <w:sz w:val="20"/>
                <w:szCs w:val="20"/>
              </w:rPr>
              <w:t>18</w:t>
            </w:r>
          </w:p>
        </w:tc>
        <w:tc>
          <w:tcPr>
            <w:tcW w:w="0" w:type="auto"/>
            <w:shd w:val="clear" w:color="auto" w:fill="F2F2F2"/>
            <w:vAlign w:val="center"/>
          </w:tcPr>
          <w:p w14:paraId="2BB68C59" w14:textId="77777777" w:rsidR="004C63FE" w:rsidRDefault="00000000">
            <w:pPr>
              <w:spacing w:before="30" w:after="30"/>
            </w:pPr>
            <w:r>
              <w:rPr>
                <w:sz w:val="20"/>
                <w:szCs w:val="20"/>
              </w:rPr>
              <w:t>6</w:t>
            </w:r>
          </w:p>
        </w:tc>
        <w:tc>
          <w:tcPr>
            <w:tcW w:w="0" w:type="auto"/>
            <w:shd w:val="clear" w:color="auto" w:fill="F2F2F2"/>
            <w:vAlign w:val="center"/>
          </w:tcPr>
          <w:p w14:paraId="1532FC70" w14:textId="77777777" w:rsidR="004C63FE" w:rsidRDefault="00000000">
            <w:pPr>
              <w:spacing w:before="30" w:after="30"/>
            </w:pPr>
            <w:r>
              <w:rPr>
                <w:sz w:val="20"/>
                <w:szCs w:val="20"/>
              </w:rPr>
              <w:t>33</w:t>
            </w:r>
          </w:p>
        </w:tc>
      </w:tr>
      <w:tr w:rsidR="004C63FE" w14:paraId="6705E729" w14:textId="77777777">
        <w:tblPrEx>
          <w:tblCellMar>
            <w:top w:w="0" w:type="dxa"/>
            <w:bottom w:w="0" w:type="dxa"/>
          </w:tblCellMar>
        </w:tblPrEx>
        <w:tc>
          <w:tcPr>
            <w:tcW w:w="0" w:type="auto"/>
            <w:vAlign w:val="center"/>
          </w:tcPr>
          <w:p w14:paraId="25F6BA62" w14:textId="77777777" w:rsidR="004C63FE" w:rsidRDefault="00000000">
            <w:pPr>
              <w:spacing w:before="30" w:after="30"/>
            </w:pPr>
            <w:r>
              <w:rPr>
                <w:sz w:val="20"/>
                <w:szCs w:val="20"/>
              </w:rPr>
              <w:t>114</w:t>
            </w:r>
          </w:p>
        </w:tc>
        <w:tc>
          <w:tcPr>
            <w:tcW w:w="0" w:type="auto"/>
            <w:vAlign w:val="center"/>
          </w:tcPr>
          <w:p w14:paraId="05590DE2" w14:textId="77777777" w:rsidR="004C63FE" w:rsidRDefault="00000000">
            <w:pPr>
              <w:spacing w:before="30" w:after="30"/>
            </w:pPr>
            <w:r>
              <w:rPr>
                <w:sz w:val="20"/>
                <w:szCs w:val="20"/>
              </w:rPr>
              <w:t>9</w:t>
            </w:r>
          </w:p>
        </w:tc>
        <w:tc>
          <w:tcPr>
            <w:tcW w:w="0" w:type="auto"/>
            <w:vAlign w:val="center"/>
          </w:tcPr>
          <w:p w14:paraId="44764721" w14:textId="77777777" w:rsidR="004C63FE" w:rsidRDefault="00000000">
            <w:pPr>
              <w:spacing w:before="30" w:after="30"/>
            </w:pPr>
            <w:r>
              <w:rPr>
                <w:sz w:val="20"/>
                <w:szCs w:val="20"/>
              </w:rPr>
              <w:t>14</w:t>
            </w:r>
          </w:p>
        </w:tc>
        <w:tc>
          <w:tcPr>
            <w:tcW w:w="0" w:type="auto"/>
            <w:vAlign w:val="center"/>
          </w:tcPr>
          <w:p w14:paraId="0893A764" w14:textId="77777777" w:rsidR="004C63FE" w:rsidRDefault="00000000">
            <w:pPr>
              <w:spacing w:before="30" w:after="30"/>
            </w:pPr>
            <w:r>
              <w:rPr>
                <w:sz w:val="20"/>
                <w:szCs w:val="20"/>
              </w:rPr>
              <w:t>4</w:t>
            </w:r>
          </w:p>
        </w:tc>
        <w:tc>
          <w:tcPr>
            <w:tcW w:w="0" w:type="auto"/>
            <w:vAlign w:val="center"/>
          </w:tcPr>
          <w:p w14:paraId="2389581C" w14:textId="77777777" w:rsidR="004C63FE" w:rsidRDefault="00000000">
            <w:pPr>
              <w:spacing w:before="30" w:after="30"/>
            </w:pPr>
            <w:r>
              <w:rPr>
                <w:sz w:val="20"/>
                <w:szCs w:val="20"/>
              </w:rPr>
              <w:t>27</w:t>
            </w:r>
          </w:p>
        </w:tc>
      </w:tr>
      <w:tr w:rsidR="004C63FE" w14:paraId="7E05E125" w14:textId="77777777">
        <w:tblPrEx>
          <w:tblCellMar>
            <w:top w:w="0" w:type="dxa"/>
            <w:bottom w:w="0" w:type="dxa"/>
          </w:tblCellMar>
        </w:tblPrEx>
        <w:tc>
          <w:tcPr>
            <w:tcW w:w="0" w:type="auto"/>
            <w:shd w:val="clear" w:color="auto" w:fill="F2F2F2"/>
            <w:vAlign w:val="center"/>
          </w:tcPr>
          <w:p w14:paraId="68820A8D" w14:textId="77777777" w:rsidR="004C63FE" w:rsidRDefault="00000000">
            <w:pPr>
              <w:spacing w:before="30" w:after="30"/>
            </w:pPr>
            <w:r>
              <w:rPr>
                <w:b/>
                <w:bCs/>
                <w:sz w:val="20"/>
                <w:szCs w:val="20"/>
              </w:rPr>
              <w:t>合計</w:t>
            </w:r>
          </w:p>
        </w:tc>
        <w:tc>
          <w:tcPr>
            <w:tcW w:w="0" w:type="auto"/>
            <w:shd w:val="clear" w:color="auto" w:fill="F2F2F2"/>
            <w:vAlign w:val="center"/>
          </w:tcPr>
          <w:p w14:paraId="5FDBAA53" w14:textId="77777777" w:rsidR="004C63FE" w:rsidRDefault="00000000">
            <w:pPr>
              <w:spacing w:before="30" w:after="30"/>
            </w:pPr>
            <w:r>
              <w:rPr>
                <w:b/>
                <w:bCs/>
                <w:sz w:val="20"/>
                <w:szCs w:val="20"/>
              </w:rPr>
              <w:t>35</w:t>
            </w:r>
          </w:p>
        </w:tc>
        <w:tc>
          <w:tcPr>
            <w:tcW w:w="0" w:type="auto"/>
            <w:shd w:val="clear" w:color="auto" w:fill="F2F2F2"/>
            <w:vAlign w:val="center"/>
          </w:tcPr>
          <w:p w14:paraId="09220999" w14:textId="77777777" w:rsidR="004C63FE" w:rsidRDefault="00000000">
            <w:pPr>
              <w:spacing w:before="30" w:after="30"/>
            </w:pPr>
            <w:r>
              <w:rPr>
                <w:b/>
                <w:bCs/>
                <w:sz w:val="20"/>
                <w:szCs w:val="20"/>
              </w:rPr>
              <w:t>67</w:t>
            </w:r>
          </w:p>
        </w:tc>
        <w:tc>
          <w:tcPr>
            <w:tcW w:w="0" w:type="auto"/>
            <w:shd w:val="clear" w:color="auto" w:fill="F2F2F2"/>
            <w:vAlign w:val="center"/>
          </w:tcPr>
          <w:p w14:paraId="79D6E515" w14:textId="77777777" w:rsidR="004C63FE" w:rsidRDefault="00000000">
            <w:pPr>
              <w:spacing w:before="30" w:after="30"/>
            </w:pPr>
            <w:r>
              <w:rPr>
                <w:b/>
                <w:bCs/>
                <w:sz w:val="20"/>
                <w:szCs w:val="20"/>
              </w:rPr>
              <w:t>16</w:t>
            </w:r>
          </w:p>
        </w:tc>
        <w:tc>
          <w:tcPr>
            <w:tcW w:w="0" w:type="auto"/>
            <w:shd w:val="clear" w:color="auto" w:fill="F2F2F2"/>
            <w:vAlign w:val="center"/>
          </w:tcPr>
          <w:p w14:paraId="441F40CD" w14:textId="77777777" w:rsidR="004C63FE" w:rsidRDefault="00000000">
            <w:pPr>
              <w:spacing w:before="30" w:after="30"/>
            </w:pPr>
            <w:r>
              <w:rPr>
                <w:b/>
                <w:bCs/>
                <w:sz w:val="20"/>
                <w:szCs w:val="20"/>
              </w:rPr>
              <w:t>118</w:t>
            </w:r>
          </w:p>
        </w:tc>
      </w:tr>
    </w:tbl>
    <w:p w14:paraId="429B3F21" w14:textId="77777777" w:rsidR="004C63FE" w:rsidRDefault="004C63FE">
      <w:pPr>
        <w:spacing w:after="160"/>
      </w:pPr>
    </w:p>
    <w:p w14:paraId="58D1A409" w14:textId="77777777" w:rsidR="004C63FE" w:rsidRDefault="00000000">
      <w:pPr>
        <w:spacing w:before="60" w:after="60"/>
      </w:pPr>
      <w:r>
        <w:rPr>
          <w:i/>
          <w:iCs/>
          <w:sz w:val="18"/>
          <w:szCs w:val="18"/>
        </w:rPr>
        <w:t>資料來源：臺灣視光視力保健學會內部紀錄（因早期系統毀損，僅呈現</w:t>
      </w:r>
      <w:r>
        <w:rPr>
          <w:i/>
          <w:iCs/>
          <w:sz w:val="18"/>
          <w:szCs w:val="18"/>
        </w:rPr>
        <w:t xml:space="preserve"> 111–114 </w:t>
      </w:r>
      <w:r>
        <w:rPr>
          <w:i/>
          <w:iCs/>
          <w:sz w:val="18"/>
          <w:szCs w:val="18"/>
        </w:rPr>
        <w:t>學年度資料）</w:t>
      </w:r>
    </w:p>
    <w:p w14:paraId="7D8EDF4F" w14:textId="77777777" w:rsidR="004C63FE" w:rsidRDefault="00000000">
      <w:pPr>
        <w:spacing w:before="200" w:after="200"/>
        <w:jc w:val="center"/>
      </w:pPr>
      <w:r>
        <w:rPr>
          <w:b/>
          <w:bCs/>
        </w:rPr>
        <w:t>【圖</w:t>
      </w:r>
      <w:r>
        <w:rPr>
          <w:b/>
          <w:bCs/>
        </w:rPr>
        <w:t>1</w:t>
      </w:r>
      <w:r>
        <w:rPr>
          <w:b/>
          <w:bCs/>
        </w:rPr>
        <w:t>：</w:t>
      </w:r>
      <w:r>
        <w:rPr>
          <w:b/>
          <w:bCs/>
        </w:rPr>
        <w:t xml:space="preserve">111–114 </w:t>
      </w:r>
      <w:r>
        <w:rPr>
          <w:b/>
          <w:bCs/>
        </w:rPr>
        <w:t>學年度馬祖各島學童配鏡人數堆疊長條圖（請插入附件圖檔）】</w:t>
      </w:r>
    </w:p>
    <w:p w14:paraId="6D19C512" w14:textId="77777777" w:rsidR="004C63FE" w:rsidRDefault="00000000">
      <w:pPr>
        <w:pStyle w:val="4"/>
        <w:spacing w:before="240" w:after="120"/>
      </w:pPr>
      <w:r>
        <w:t xml:space="preserve">3.3.2 </w:t>
      </w:r>
      <w:r>
        <w:t>專業傳承：服務的長遠影響</w:t>
      </w:r>
    </w:p>
    <w:p w14:paraId="10AA289F" w14:textId="7365F514" w:rsidR="004C63FE" w:rsidRDefault="00000000">
      <w:pPr>
        <w:spacing w:before="120" w:after="120"/>
        <w:ind w:firstLine="576"/>
      </w:pPr>
      <w:r>
        <w:t>一位居住於西莒的學童，從小接受本學會團隊篩檢服務，受專業精神感召而報考視光相關科系，並於近年考取國家驗光師執照，成為</w:t>
      </w:r>
      <w:r w:rsidR="008B147F">
        <w:rPr>
          <w:rFonts w:hint="eastAsia"/>
        </w:rPr>
        <w:t>未來可服務在地地區的</w:t>
      </w:r>
      <w:r>
        <w:t>視光人才。此一案例說明長期服務的影響力已超越單次篩檢與配鏡，並在社區中形成專業傳承的正向循環，是量化數據難以呈現的深遠成效。</w:t>
      </w:r>
    </w:p>
    <w:p w14:paraId="6AE51095" w14:textId="77777777" w:rsidR="004C63FE" w:rsidRDefault="00000000">
      <w:pPr>
        <w:pStyle w:val="2"/>
        <w:spacing w:before="320" w:after="160"/>
      </w:pPr>
      <w:r>
        <w:t xml:space="preserve">4. </w:t>
      </w:r>
      <w:r>
        <w:t>建議</w:t>
      </w:r>
      <w:r>
        <w:t xml:space="preserve"> ── </w:t>
      </w:r>
      <w:r>
        <w:t>臺灣視光視力保健學會</w:t>
      </w:r>
      <w:r>
        <w:t xml:space="preserve"> </w:t>
      </w:r>
      <w:r>
        <w:t>執筆</w:t>
      </w:r>
    </w:p>
    <w:p w14:paraId="70BA2680" w14:textId="77777777" w:rsidR="004C63FE" w:rsidRDefault="00000000">
      <w:pPr>
        <w:pStyle w:val="3"/>
        <w:spacing w:before="280" w:after="140"/>
      </w:pPr>
      <w:r>
        <w:lastRenderedPageBreak/>
        <w:t xml:space="preserve">4.1 </w:t>
      </w:r>
      <w:r>
        <w:t>政策與法規層面</w:t>
      </w:r>
    </w:p>
    <w:p w14:paraId="3063FECD" w14:textId="77777777" w:rsidR="004C63FE" w:rsidRDefault="00000000">
      <w:pPr>
        <w:pStyle w:val="a4"/>
        <w:numPr>
          <w:ilvl w:val="0"/>
          <w:numId w:val="2"/>
        </w:numPr>
        <w:spacing w:before="80" w:after="80"/>
      </w:pPr>
      <w:r>
        <w:t>建議中央主管機關跳脫「單一藥物策略」思維，仿效新加坡</w:t>
      </w:r>
      <w:r>
        <w:t xml:space="preserve"> NMPP </w:t>
      </w:r>
      <w:r>
        <w:t>模式，建立以「多元介入（戶外活動推廣</w:t>
      </w:r>
      <w:r>
        <w:t xml:space="preserve"> + </w:t>
      </w:r>
      <w:r>
        <w:t>光學控制</w:t>
      </w:r>
      <w:r>
        <w:t xml:space="preserve"> + </w:t>
      </w:r>
      <w:r>
        <w:t>低濃度阿托品）</w:t>
      </w:r>
      <w:r>
        <w:t xml:space="preserve">+ </w:t>
      </w:r>
      <w:r>
        <w:t>跨部門合作</w:t>
      </w:r>
      <w:r>
        <w:t xml:space="preserve"> + </w:t>
      </w:r>
      <w:r>
        <w:t>全國統籌機制」為核心的近視防治框架，並明確規劃離島與偏鄉地區之額外支持機制（</w:t>
      </w:r>
      <w:r>
        <w:t>Chia et al., 2016</w:t>
      </w:r>
      <w:r>
        <w:t>；</w:t>
      </w:r>
      <w:r>
        <w:t>Singapore Ministry of Health, 2024</w:t>
      </w:r>
      <w:r>
        <w:t>）。</w:t>
      </w:r>
    </w:p>
    <w:p w14:paraId="0732D385" w14:textId="77777777" w:rsidR="004C63FE" w:rsidRDefault="00000000">
      <w:pPr>
        <w:pStyle w:val="a4"/>
        <w:numPr>
          <w:ilvl w:val="0"/>
          <w:numId w:val="2"/>
        </w:numPr>
        <w:spacing w:before="80" w:after="80"/>
      </w:pPr>
      <w:r>
        <w:t>面對驗光人員法落日條款對離島屈光服務可能造成之中斷，建議評估設計過渡性措施，包含簡化離島設立驗光所之行政程序，或允許以跨縣市共用人力模式補足專業缺口，維持基本屈光照護可近性。</w:t>
      </w:r>
    </w:p>
    <w:p w14:paraId="43E94F03" w14:textId="77777777" w:rsidR="004C63FE" w:rsidRDefault="00000000">
      <w:pPr>
        <w:pStyle w:val="3"/>
        <w:spacing w:before="280" w:after="140"/>
      </w:pPr>
      <w:r>
        <w:t xml:space="preserve">4.2 </w:t>
      </w:r>
      <w:r>
        <w:t>離島視力保健服務模式層面</w:t>
      </w:r>
    </w:p>
    <w:p w14:paraId="6888FAAF" w14:textId="77777777" w:rsidR="004C63FE" w:rsidRDefault="00000000">
      <w:pPr>
        <w:pStyle w:val="a4"/>
        <w:numPr>
          <w:ilvl w:val="0"/>
          <w:numId w:val="2"/>
        </w:numPr>
        <w:spacing w:before="80" w:after="80"/>
      </w:pPr>
      <w:r>
        <w:t>建議未來離島視力保健方案以「視力篩檢</w:t>
      </w:r>
      <w:r>
        <w:t>—</w:t>
      </w:r>
      <w:r>
        <w:t>屈光矯正</w:t>
      </w:r>
      <w:r>
        <w:t>—</w:t>
      </w:r>
      <w:r>
        <w:t>近視進展監測」三合一設計取代各自為政的單一活動，以分級轉介與長期追蹤作為架構核心，避免「篩檢後無追蹤、配鏡後無管理」的斷點。</w:t>
      </w:r>
    </w:p>
    <w:p w14:paraId="6A05E82F" w14:textId="77777777" w:rsidR="004C63FE" w:rsidRDefault="00000000">
      <w:pPr>
        <w:pStyle w:val="a4"/>
        <w:numPr>
          <w:ilvl w:val="0"/>
          <w:numId w:val="2"/>
        </w:numPr>
        <w:spacing w:before="80" w:after="80"/>
      </w:pPr>
      <w:r>
        <w:t>建議在有限資源情境下，採用四階梯式近視管理策略，優先強化足度全矯正與視覺行為調整，僅在快速進展或高度近視高風險學童中導入藥物與光學控制方案，以提升成本效益（臺灣視光視力保健學會，</w:t>
      </w:r>
      <w:r>
        <w:t>2026</w:t>
      </w:r>
      <w:r>
        <w:t>，未發表手稿）。</w:t>
      </w:r>
    </w:p>
    <w:p w14:paraId="7FA94064" w14:textId="4BFD3CE9" w:rsidR="004C63FE" w:rsidRDefault="00000000">
      <w:pPr>
        <w:pStyle w:val="a4"/>
        <w:numPr>
          <w:ilvl w:val="0"/>
          <w:numId w:val="2"/>
        </w:numPr>
        <w:spacing w:before="80" w:after="80"/>
      </w:pPr>
      <w:r>
        <w:t>建議參考本計畫「學會</w:t>
      </w:r>
      <w:r>
        <w:t>—</w:t>
      </w:r>
      <w:r>
        <w:t>公會</w:t>
      </w:r>
      <w:r>
        <w:t>—</w:t>
      </w:r>
      <w:r w:rsidR="008B147F">
        <w:rPr>
          <w:rFonts w:hint="eastAsia"/>
        </w:rPr>
        <w:t>視光科系相關學校</w:t>
      </w:r>
      <w:r>
        <w:t>」三方協作之人力動員模式，鼓勵各縣市視光相關組織建立跨機構協作網絡，使離島服務形成穩定的制度性安排，而非依賴單一機構的資源與意志。</w:t>
      </w:r>
    </w:p>
    <w:p w14:paraId="1B183D0F" w14:textId="77777777" w:rsidR="004C63FE" w:rsidRDefault="00000000">
      <w:pPr>
        <w:pStyle w:val="3"/>
        <w:spacing w:before="280" w:after="140"/>
      </w:pPr>
      <w:r>
        <w:t xml:space="preserve">4.3 </w:t>
      </w:r>
      <w:r>
        <w:t>學校與家庭層面</w:t>
      </w:r>
    </w:p>
    <w:p w14:paraId="0BEB1E53" w14:textId="77777777" w:rsidR="004C63FE" w:rsidRDefault="00000000">
      <w:pPr>
        <w:pStyle w:val="a4"/>
        <w:numPr>
          <w:ilvl w:val="0"/>
          <w:numId w:val="2"/>
        </w:numPr>
        <w:spacing w:before="80" w:after="80"/>
      </w:pPr>
      <w:r>
        <w:t>建議學校將視力保健納入健康促進學校計畫，透過固定節奏之衛教課程與家長溝通，提升師生與家長對高度近視長期併發症風險的認知，積極</w:t>
      </w:r>
      <w:r>
        <w:lastRenderedPageBreak/>
        <w:t>落實「每天至少</w:t>
      </w:r>
      <w:r>
        <w:t xml:space="preserve"> 2 </w:t>
      </w:r>
      <w:r>
        <w:t>小時戶外活動」及「</w:t>
      </w:r>
      <w:r>
        <w:t xml:space="preserve">3010 </w:t>
      </w:r>
      <w:r>
        <w:t>用眼休息原則」等預防性行為（臺灣視光視力保健學會，</w:t>
      </w:r>
      <w:r>
        <w:t>2026</w:t>
      </w:r>
      <w:r>
        <w:t>，未發表手稿）。</w:t>
      </w:r>
    </w:p>
    <w:p w14:paraId="55F720A1" w14:textId="77777777" w:rsidR="004C63FE" w:rsidRDefault="00000000">
      <w:pPr>
        <w:pStyle w:val="a4"/>
        <w:numPr>
          <w:ilvl w:val="0"/>
          <w:numId w:val="2"/>
        </w:numPr>
        <w:spacing w:before="80" w:after="80"/>
      </w:pPr>
      <w:r>
        <w:t>建議建立簡明的學童視力追蹤記錄工具（紙本或數位），將學校篩檢、醫療矯正與追蹤數據串接，使家長得以掌握子女視力變化趨勢，促進保護性行為的實際落實。</w:t>
      </w:r>
    </w:p>
    <w:p w14:paraId="04ABAF76" w14:textId="77777777" w:rsidR="004C63FE" w:rsidRDefault="00000000">
      <w:pPr>
        <w:pStyle w:val="3"/>
        <w:spacing w:before="280" w:after="140"/>
      </w:pPr>
      <w:r>
        <w:t xml:space="preserve">4.4 </w:t>
      </w:r>
      <w:r>
        <w:t>三年期行動路線圖（</w:t>
      </w:r>
      <w:r>
        <w:t xml:space="preserve">115–117 </w:t>
      </w:r>
      <w:r>
        <w:t>年）</w:t>
      </w:r>
    </w:p>
    <w:tbl>
      <w:tblPr>
        <w:tblW w:w="5000" w:type="pct"/>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CellMar>
          <w:left w:w="10" w:type="dxa"/>
          <w:right w:w="10" w:type="dxa"/>
        </w:tblCellMar>
        <w:tblLook w:val="04A0" w:firstRow="1" w:lastRow="0" w:firstColumn="1" w:lastColumn="0" w:noHBand="0" w:noVBand="1"/>
      </w:tblPr>
      <w:tblGrid>
        <w:gridCol w:w="958"/>
        <w:gridCol w:w="1448"/>
        <w:gridCol w:w="5898"/>
      </w:tblGrid>
      <w:tr w:rsidR="004C63FE" w14:paraId="1D32577C" w14:textId="77777777">
        <w:tblPrEx>
          <w:tblCellMar>
            <w:top w:w="0" w:type="dxa"/>
            <w:bottom w:w="0" w:type="dxa"/>
          </w:tblCellMar>
        </w:tblPrEx>
        <w:trPr>
          <w:tblHeader/>
        </w:trPr>
        <w:tc>
          <w:tcPr>
            <w:tcW w:w="0" w:type="auto"/>
            <w:shd w:val="clear" w:color="auto" w:fill="D9E2F3"/>
            <w:vAlign w:val="center"/>
          </w:tcPr>
          <w:p w14:paraId="4976F5B8" w14:textId="77777777" w:rsidR="004C63FE" w:rsidRDefault="00000000">
            <w:pPr>
              <w:spacing w:before="40" w:after="40"/>
              <w:jc w:val="center"/>
            </w:pPr>
            <w:r>
              <w:rPr>
                <w:b/>
                <w:bCs/>
                <w:sz w:val="20"/>
                <w:szCs w:val="20"/>
              </w:rPr>
              <w:t>期程</w:t>
            </w:r>
          </w:p>
        </w:tc>
        <w:tc>
          <w:tcPr>
            <w:tcW w:w="0" w:type="auto"/>
            <w:shd w:val="clear" w:color="auto" w:fill="D9E2F3"/>
            <w:vAlign w:val="center"/>
          </w:tcPr>
          <w:p w14:paraId="73BD61FE" w14:textId="77777777" w:rsidR="004C63FE" w:rsidRDefault="00000000">
            <w:pPr>
              <w:spacing w:before="40" w:after="40"/>
              <w:jc w:val="center"/>
            </w:pPr>
            <w:r>
              <w:rPr>
                <w:b/>
                <w:bCs/>
                <w:sz w:val="20"/>
                <w:szCs w:val="20"/>
              </w:rPr>
              <w:t>目標</w:t>
            </w:r>
          </w:p>
        </w:tc>
        <w:tc>
          <w:tcPr>
            <w:tcW w:w="0" w:type="auto"/>
            <w:shd w:val="clear" w:color="auto" w:fill="D9E2F3"/>
            <w:vAlign w:val="center"/>
          </w:tcPr>
          <w:p w14:paraId="4365386C" w14:textId="77777777" w:rsidR="004C63FE" w:rsidRDefault="00000000">
            <w:pPr>
              <w:spacing w:before="40" w:after="40"/>
              <w:jc w:val="center"/>
            </w:pPr>
            <w:r>
              <w:rPr>
                <w:b/>
                <w:bCs/>
                <w:sz w:val="20"/>
                <w:szCs w:val="20"/>
              </w:rPr>
              <w:t>具體行動</w:t>
            </w:r>
          </w:p>
        </w:tc>
      </w:tr>
      <w:tr w:rsidR="004C63FE" w14:paraId="5EF884FA" w14:textId="77777777">
        <w:tblPrEx>
          <w:tblCellMar>
            <w:top w:w="0" w:type="dxa"/>
            <w:bottom w:w="0" w:type="dxa"/>
          </w:tblCellMar>
        </w:tblPrEx>
        <w:tc>
          <w:tcPr>
            <w:tcW w:w="0" w:type="auto"/>
            <w:shd w:val="clear" w:color="auto" w:fill="F2F2F2"/>
            <w:vAlign w:val="center"/>
          </w:tcPr>
          <w:p w14:paraId="2F52F821" w14:textId="77777777" w:rsidR="004C63FE" w:rsidRDefault="00000000">
            <w:pPr>
              <w:spacing w:before="30" w:after="30"/>
            </w:pPr>
            <w:r>
              <w:rPr>
                <w:b/>
                <w:bCs/>
                <w:sz w:val="20"/>
                <w:szCs w:val="20"/>
              </w:rPr>
              <w:t xml:space="preserve">115 </w:t>
            </w:r>
            <w:r>
              <w:rPr>
                <w:b/>
                <w:bCs/>
                <w:sz w:val="20"/>
                <w:szCs w:val="20"/>
              </w:rPr>
              <w:t>年</w:t>
            </w:r>
            <w:r>
              <w:rPr>
                <w:sz w:val="20"/>
                <w:szCs w:val="20"/>
              </w:rPr>
              <w:t>（第一年）</w:t>
            </w:r>
          </w:p>
        </w:tc>
        <w:tc>
          <w:tcPr>
            <w:tcW w:w="0" w:type="auto"/>
            <w:shd w:val="clear" w:color="auto" w:fill="F2F2F2"/>
            <w:vAlign w:val="center"/>
          </w:tcPr>
          <w:p w14:paraId="1D05D9CA" w14:textId="77777777" w:rsidR="004C63FE" w:rsidRDefault="00000000">
            <w:pPr>
              <w:spacing w:before="30" w:after="30"/>
            </w:pPr>
            <w:r>
              <w:rPr>
                <w:sz w:val="20"/>
                <w:szCs w:val="20"/>
              </w:rPr>
              <w:t>穩固現有服務、因應法規斷崖</w:t>
            </w:r>
          </w:p>
        </w:tc>
        <w:tc>
          <w:tcPr>
            <w:tcW w:w="0" w:type="auto"/>
            <w:shd w:val="clear" w:color="auto" w:fill="F2F2F2"/>
            <w:vAlign w:val="center"/>
          </w:tcPr>
          <w:p w14:paraId="0480DF05" w14:textId="77777777" w:rsidR="004C63FE" w:rsidRDefault="00000000">
            <w:pPr>
              <w:spacing w:before="30" w:after="30"/>
            </w:pPr>
            <w:r>
              <w:rPr>
                <w:sz w:val="20"/>
                <w:szCs w:val="20"/>
              </w:rPr>
              <w:t>①</w:t>
            </w:r>
            <w:r>
              <w:rPr>
                <w:sz w:val="20"/>
                <w:szCs w:val="20"/>
              </w:rPr>
              <w:t>協助連江縣評估驗光所設立可行性；</w:t>
            </w:r>
            <w:r>
              <w:rPr>
                <w:sz w:val="20"/>
                <w:szCs w:val="20"/>
              </w:rPr>
              <w:t>②</w:t>
            </w:r>
            <w:r>
              <w:rPr>
                <w:sz w:val="20"/>
                <w:szCs w:val="20"/>
              </w:rPr>
              <w:t>完成四島標準化篩檢</w:t>
            </w:r>
            <w:r>
              <w:rPr>
                <w:sz w:val="20"/>
                <w:szCs w:val="20"/>
              </w:rPr>
              <w:t xml:space="preserve"> SOP </w:t>
            </w:r>
            <w:r>
              <w:rPr>
                <w:sz w:val="20"/>
                <w:szCs w:val="20"/>
              </w:rPr>
              <w:t>文件化；</w:t>
            </w:r>
            <w:r>
              <w:rPr>
                <w:sz w:val="20"/>
                <w:szCs w:val="20"/>
              </w:rPr>
              <w:t>③</w:t>
            </w:r>
            <w:r>
              <w:rPr>
                <w:sz w:val="20"/>
                <w:szCs w:val="20"/>
              </w:rPr>
              <w:t>建立學童視力追蹤資料庫原型</w:t>
            </w:r>
          </w:p>
        </w:tc>
      </w:tr>
      <w:tr w:rsidR="004C63FE" w14:paraId="2ACCD333" w14:textId="77777777">
        <w:tblPrEx>
          <w:tblCellMar>
            <w:top w:w="0" w:type="dxa"/>
            <w:bottom w:w="0" w:type="dxa"/>
          </w:tblCellMar>
        </w:tblPrEx>
        <w:tc>
          <w:tcPr>
            <w:tcW w:w="0" w:type="auto"/>
            <w:vAlign w:val="center"/>
          </w:tcPr>
          <w:p w14:paraId="7F125391" w14:textId="77777777" w:rsidR="004C63FE" w:rsidRDefault="00000000">
            <w:pPr>
              <w:spacing w:before="30" w:after="30"/>
            </w:pPr>
            <w:r>
              <w:rPr>
                <w:b/>
                <w:bCs/>
                <w:sz w:val="20"/>
                <w:szCs w:val="20"/>
              </w:rPr>
              <w:t xml:space="preserve">116 </w:t>
            </w:r>
            <w:r>
              <w:rPr>
                <w:b/>
                <w:bCs/>
                <w:sz w:val="20"/>
                <w:szCs w:val="20"/>
              </w:rPr>
              <w:t>年</w:t>
            </w:r>
            <w:r>
              <w:rPr>
                <w:sz w:val="20"/>
                <w:szCs w:val="20"/>
              </w:rPr>
              <w:t>（第二年）</w:t>
            </w:r>
          </w:p>
        </w:tc>
        <w:tc>
          <w:tcPr>
            <w:tcW w:w="0" w:type="auto"/>
            <w:vAlign w:val="center"/>
          </w:tcPr>
          <w:p w14:paraId="7D1CDF54" w14:textId="77777777" w:rsidR="004C63FE" w:rsidRDefault="00000000">
            <w:pPr>
              <w:spacing w:before="30" w:after="30"/>
            </w:pPr>
            <w:r>
              <w:rPr>
                <w:sz w:val="20"/>
                <w:szCs w:val="20"/>
              </w:rPr>
              <w:t>擴大合作、深化追蹤</w:t>
            </w:r>
          </w:p>
        </w:tc>
        <w:tc>
          <w:tcPr>
            <w:tcW w:w="0" w:type="auto"/>
            <w:vAlign w:val="center"/>
          </w:tcPr>
          <w:p w14:paraId="57B08AE2" w14:textId="77777777" w:rsidR="004C63FE" w:rsidRDefault="00000000">
            <w:pPr>
              <w:spacing w:before="30" w:after="30"/>
            </w:pPr>
            <w:r>
              <w:rPr>
                <w:sz w:val="20"/>
                <w:szCs w:val="20"/>
              </w:rPr>
              <w:t>①</w:t>
            </w:r>
            <w:r>
              <w:rPr>
                <w:sz w:val="20"/>
                <w:szCs w:val="20"/>
              </w:rPr>
              <w:t>推動「學會</w:t>
            </w:r>
            <w:r>
              <w:rPr>
                <w:sz w:val="20"/>
                <w:szCs w:val="20"/>
              </w:rPr>
              <w:t>—</w:t>
            </w:r>
            <w:r>
              <w:rPr>
                <w:sz w:val="20"/>
                <w:szCs w:val="20"/>
              </w:rPr>
              <w:t>公會</w:t>
            </w:r>
            <w:r>
              <w:rPr>
                <w:sz w:val="20"/>
                <w:szCs w:val="20"/>
              </w:rPr>
              <w:t>—</w:t>
            </w:r>
            <w:r>
              <w:rPr>
                <w:sz w:val="20"/>
                <w:szCs w:val="20"/>
              </w:rPr>
              <w:t>大學</w:t>
            </w:r>
            <w:r>
              <w:rPr>
                <w:sz w:val="20"/>
                <w:szCs w:val="20"/>
              </w:rPr>
              <w:t>—</w:t>
            </w:r>
            <w:r>
              <w:rPr>
                <w:sz w:val="20"/>
                <w:szCs w:val="20"/>
              </w:rPr>
              <w:t>縣政府」四方備忘錄；</w:t>
            </w:r>
            <w:r>
              <w:rPr>
                <w:sz w:val="20"/>
                <w:szCs w:val="20"/>
              </w:rPr>
              <w:t>②</w:t>
            </w:r>
            <w:r>
              <w:rPr>
                <w:sz w:val="20"/>
                <w:szCs w:val="20"/>
              </w:rPr>
              <w:t>啟動縣級學童視力電子追蹤平台；</w:t>
            </w:r>
            <w:r>
              <w:rPr>
                <w:sz w:val="20"/>
                <w:szCs w:val="20"/>
              </w:rPr>
              <w:t>③</w:t>
            </w:r>
            <w:r>
              <w:rPr>
                <w:sz w:val="20"/>
                <w:szCs w:val="20"/>
              </w:rPr>
              <w:t>試辦家長衛教工作坊</w:t>
            </w:r>
          </w:p>
        </w:tc>
      </w:tr>
      <w:tr w:rsidR="004C63FE" w14:paraId="77567C3D" w14:textId="77777777">
        <w:tblPrEx>
          <w:tblCellMar>
            <w:top w:w="0" w:type="dxa"/>
            <w:bottom w:w="0" w:type="dxa"/>
          </w:tblCellMar>
        </w:tblPrEx>
        <w:tc>
          <w:tcPr>
            <w:tcW w:w="0" w:type="auto"/>
            <w:shd w:val="clear" w:color="auto" w:fill="F2F2F2"/>
            <w:vAlign w:val="center"/>
          </w:tcPr>
          <w:p w14:paraId="0ECF0FDE" w14:textId="77777777" w:rsidR="004C63FE" w:rsidRDefault="00000000">
            <w:pPr>
              <w:spacing w:before="30" w:after="30"/>
            </w:pPr>
            <w:r>
              <w:rPr>
                <w:b/>
                <w:bCs/>
                <w:sz w:val="20"/>
                <w:szCs w:val="20"/>
              </w:rPr>
              <w:t xml:space="preserve">117 </w:t>
            </w:r>
            <w:r>
              <w:rPr>
                <w:b/>
                <w:bCs/>
                <w:sz w:val="20"/>
                <w:szCs w:val="20"/>
              </w:rPr>
              <w:t>年</w:t>
            </w:r>
            <w:r>
              <w:rPr>
                <w:sz w:val="20"/>
                <w:szCs w:val="20"/>
              </w:rPr>
              <w:t>（第三年）</w:t>
            </w:r>
          </w:p>
        </w:tc>
        <w:tc>
          <w:tcPr>
            <w:tcW w:w="0" w:type="auto"/>
            <w:shd w:val="clear" w:color="auto" w:fill="F2F2F2"/>
            <w:vAlign w:val="center"/>
          </w:tcPr>
          <w:p w14:paraId="38A05DF0" w14:textId="77777777" w:rsidR="004C63FE" w:rsidRDefault="00000000">
            <w:pPr>
              <w:spacing w:before="30" w:after="30"/>
            </w:pPr>
            <w:r>
              <w:rPr>
                <w:sz w:val="20"/>
                <w:szCs w:val="20"/>
              </w:rPr>
              <w:t>制度化、可複製化</w:t>
            </w:r>
          </w:p>
        </w:tc>
        <w:tc>
          <w:tcPr>
            <w:tcW w:w="0" w:type="auto"/>
            <w:shd w:val="clear" w:color="auto" w:fill="F2F2F2"/>
            <w:vAlign w:val="center"/>
          </w:tcPr>
          <w:p w14:paraId="7B40930E" w14:textId="77777777" w:rsidR="004C63FE" w:rsidRDefault="00000000">
            <w:pPr>
              <w:spacing w:before="30" w:after="30"/>
            </w:pPr>
            <w:r>
              <w:rPr>
                <w:sz w:val="20"/>
                <w:szCs w:val="20"/>
              </w:rPr>
              <w:t>①</w:t>
            </w:r>
            <w:r>
              <w:rPr>
                <w:sz w:val="20"/>
                <w:szCs w:val="20"/>
              </w:rPr>
              <w:t>發表離島跨領域服務模式成效報告；</w:t>
            </w:r>
            <w:r>
              <w:rPr>
                <w:sz w:val="20"/>
                <w:szCs w:val="20"/>
              </w:rPr>
              <w:t>②</w:t>
            </w:r>
            <w:r>
              <w:rPr>
                <w:sz w:val="20"/>
                <w:szCs w:val="20"/>
              </w:rPr>
              <w:t>提供其他離島縣市（如澎湖、金門）複製參考；</w:t>
            </w:r>
            <w:r>
              <w:rPr>
                <w:sz w:val="20"/>
                <w:szCs w:val="20"/>
              </w:rPr>
              <w:t>③</w:t>
            </w:r>
            <w:r>
              <w:rPr>
                <w:sz w:val="20"/>
                <w:szCs w:val="20"/>
              </w:rPr>
              <w:t>爭取中央專案補助，建立常態性巡迴服務制度</w:t>
            </w:r>
          </w:p>
        </w:tc>
      </w:tr>
    </w:tbl>
    <w:p w14:paraId="4BE92F9D" w14:textId="77777777" w:rsidR="004C63FE" w:rsidRDefault="004C63FE">
      <w:pPr>
        <w:spacing w:after="160"/>
      </w:pPr>
    </w:p>
    <w:p w14:paraId="4BD472D3" w14:textId="77777777" w:rsidR="004C63FE" w:rsidRDefault="00000000">
      <w:pPr>
        <w:pStyle w:val="2"/>
        <w:spacing w:before="320" w:after="160"/>
      </w:pPr>
      <w:r>
        <w:t xml:space="preserve">5. </w:t>
      </w:r>
      <w:r>
        <w:t>結論</w:t>
      </w:r>
      <w:r>
        <w:t xml:space="preserve"> ── </w:t>
      </w:r>
      <w:r>
        <w:t>臺灣視光視力保健學會</w:t>
      </w:r>
      <w:r>
        <w:t xml:space="preserve"> </w:t>
      </w:r>
      <w:r>
        <w:t>執筆</w:t>
      </w:r>
    </w:p>
    <w:p w14:paraId="3045EBDC" w14:textId="77777777" w:rsidR="004C63FE" w:rsidRDefault="00000000">
      <w:pPr>
        <w:spacing w:before="120" w:after="120"/>
        <w:ind w:firstLine="576"/>
      </w:pPr>
      <w:r>
        <w:t>本研究以連江縣離島學童為對象，透過文獻分析與超過</w:t>
      </w:r>
      <w:r>
        <w:t xml:space="preserve"> 12 </w:t>
      </w:r>
      <w:r>
        <w:t>年之實務服務經驗整理，呈現我國學童視力惡化之結構性現況，以及離島在醫療與視力保健資源上的多重弱勢。連江縣雖與本島都會區有相近之視力不良率，實際獲得精確屈光矯正與持續追蹤之機會卻明顯較低，反映出「視力篩檢制度健全，後續照護仍存落差」的現象。</w:t>
      </w:r>
    </w:p>
    <w:p w14:paraId="05761D49" w14:textId="77777777" w:rsidR="004C63FE" w:rsidRDefault="00000000">
      <w:pPr>
        <w:spacing w:before="120" w:after="120"/>
        <w:ind w:firstLine="576"/>
      </w:pPr>
      <w:r>
        <w:t>國際比較亦顯示，新加坡</w:t>
      </w:r>
      <w:r>
        <w:t xml:space="preserve"> NMPP </w:t>
      </w:r>
      <w:r>
        <w:t>透過多元介入與跨部門合作，成功使小學生近視盛行率在十年間從</w:t>
      </w:r>
      <w:r>
        <w:t xml:space="preserve"> 37.7% </w:t>
      </w:r>
      <w:r>
        <w:t>降至</w:t>
      </w:r>
      <w:r>
        <w:t xml:space="preserve"> 31.6%</w:t>
      </w:r>
      <w:r>
        <w:t>（</w:t>
      </w:r>
      <w:r>
        <w:t>Chia et al., 2016</w:t>
      </w:r>
      <w:r>
        <w:t>）；日本的政策</w:t>
      </w:r>
      <w:r>
        <w:lastRenderedPageBreak/>
        <w:t>實驗則說明教育壓力與近視惡化的直接關聯（</w:t>
      </w:r>
      <w:proofErr w:type="spellStart"/>
      <w:r>
        <w:t>Ishiko</w:t>
      </w:r>
      <w:proofErr w:type="spellEnd"/>
      <w:r>
        <w:t xml:space="preserve"> et al., 2021</w:t>
      </w:r>
      <w:r>
        <w:t>）。台灣若要在現有基礎上取得突破，需要的不只是新的治療技術，而是整合性的跨域合作機制。</w:t>
      </w:r>
    </w:p>
    <w:p w14:paraId="1F4E1C24" w14:textId="66618A7D" w:rsidR="004C63FE" w:rsidRDefault="00000000">
      <w:pPr>
        <w:spacing w:before="120" w:after="120"/>
        <w:ind w:firstLine="576"/>
      </w:pPr>
      <w:r>
        <w:t>本文所提出之離島跨領域服務模式，嘗試在學校、護理人員、視光專業與地方政府之間建立合作架構，以「送愛到學校」計畫為例，透過「學會</w:t>
      </w:r>
      <w:r>
        <w:t>—</w:t>
      </w:r>
      <w:r>
        <w:t>公會</w:t>
      </w:r>
      <w:r>
        <w:t>—</w:t>
      </w:r>
      <w:r w:rsidR="008B147F">
        <w:rPr>
          <w:rFonts w:hint="eastAsia"/>
        </w:rPr>
        <w:t>視光科系相關學校</w:t>
      </w:r>
      <w:r>
        <w:t>」三方協作，在東引、西莒、南竿等離島地區累積</w:t>
      </w:r>
      <w:r>
        <w:t xml:space="preserve"> 111 </w:t>
      </w:r>
      <w:r>
        <w:t>至</w:t>
      </w:r>
      <w:r>
        <w:t xml:space="preserve"> 114 </w:t>
      </w:r>
      <w:r>
        <w:t>學年度共</w:t>
      </w:r>
      <w:r>
        <w:t xml:space="preserve"> 118 </w:t>
      </w:r>
      <w:r>
        <w:t>名學童的配鏡服務紀錄，並獲得學校與地方行政單位的正式肯定（中央社，</w:t>
      </w:r>
      <w:r>
        <w:t>2021</w:t>
      </w:r>
      <w:r>
        <w:t>；連江縣政府，</w:t>
      </w:r>
      <w:r>
        <w:t>2025</w:t>
      </w:r>
      <w:r>
        <w:t>）。</w:t>
      </w:r>
    </w:p>
    <w:p w14:paraId="129A4169" w14:textId="77777777" w:rsidR="004C63FE" w:rsidRDefault="00000000">
      <w:pPr>
        <w:spacing w:before="120" w:after="120"/>
        <w:ind w:firstLine="576"/>
      </w:pPr>
      <w:r>
        <w:t>對護理與學校教育實務而言，本研究強調學校護理人員與導師在視力保健中扮演關鍵的第一線守門角色，包含風險辨識、衛教介入與親師溝通。未來若能結合護理專業之健康促進理念，將視力保健納入學校健康照護的常態架構，並與地方醫療及視光資源建立長期合作關係，將有助於形塑更具整合性的學童視力照護體系，最終實現「偏鄉學童的視力健康，不再因地理而不平等」的目標。</w:t>
      </w:r>
    </w:p>
    <w:p w14:paraId="42CC12B1" w14:textId="77777777" w:rsidR="004C63FE" w:rsidRDefault="00000000">
      <w:pPr>
        <w:pStyle w:val="2"/>
        <w:spacing w:before="320" w:after="160"/>
      </w:pPr>
      <w:r>
        <w:t xml:space="preserve">6. </w:t>
      </w:r>
      <w:r>
        <w:t>參考文獻</w:t>
      </w:r>
    </w:p>
    <w:p w14:paraId="29F5D6F6" w14:textId="77777777" w:rsidR="004C63FE" w:rsidRDefault="00000000">
      <w:pPr>
        <w:pStyle w:val="3"/>
        <w:spacing w:before="280" w:after="140"/>
      </w:pPr>
      <w:r>
        <w:t>英文文獻</w:t>
      </w:r>
    </w:p>
    <w:p w14:paraId="574459DB" w14:textId="77777777" w:rsidR="004C63FE" w:rsidRDefault="00000000">
      <w:pPr>
        <w:spacing w:before="120" w:after="120"/>
        <w:ind w:firstLine="576"/>
      </w:pPr>
      <w:r>
        <w:t xml:space="preserve">Akerman, D. (2022). Accommodation and vergence in children using atropine with orthokeratology. </w:t>
      </w:r>
      <w:r>
        <w:rPr>
          <w:i/>
          <w:iCs/>
        </w:rPr>
        <w:t>Review of Myopia Management</w:t>
      </w:r>
      <w:r>
        <w:t>. Retrieved from https://reviewofmm.com</w:t>
      </w:r>
    </w:p>
    <w:p w14:paraId="74381320" w14:textId="77777777" w:rsidR="004C63FE" w:rsidRDefault="00000000">
      <w:pPr>
        <w:spacing w:before="120" w:after="120"/>
        <w:ind w:firstLine="576"/>
      </w:pPr>
      <w:proofErr w:type="spellStart"/>
      <w:r>
        <w:t>Breliant</w:t>
      </w:r>
      <w:proofErr w:type="spellEnd"/>
      <w:r>
        <w:t xml:space="preserve">, N., et al. (2025). Response of accommodation and vergence systems to low dose atropine. </w:t>
      </w:r>
      <w:r>
        <w:rPr>
          <w:i/>
          <w:iCs/>
        </w:rPr>
        <w:t>Ophthalmic and Physiological Optics</w:t>
      </w:r>
      <w:r>
        <w:t xml:space="preserve">, </w:t>
      </w:r>
      <w:r>
        <w:rPr>
          <w:i/>
          <w:iCs/>
        </w:rPr>
        <w:t>45</w:t>
      </w:r>
      <w:r>
        <w:t>(1), 45–56. https://doi.org/10.1111/opo.13367</w:t>
      </w:r>
    </w:p>
    <w:p w14:paraId="2642BA66" w14:textId="77777777" w:rsidR="004C63FE" w:rsidRDefault="00000000">
      <w:pPr>
        <w:spacing w:before="120" w:after="120"/>
        <w:ind w:firstLine="576"/>
      </w:pPr>
      <w:r>
        <w:t xml:space="preserve">Chia, A., Lu, Q. S., &amp; Tan, D. (2016). Five-year clinical trial on atropine for the treatment of myopia 2: Myopia control with atropine 0.01% eye drops. </w:t>
      </w:r>
      <w:r>
        <w:rPr>
          <w:i/>
          <w:iCs/>
        </w:rPr>
        <w:t>Ophthalmology</w:t>
      </w:r>
      <w:r>
        <w:t xml:space="preserve">, </w:t>
      </w:r>
      <w:r>
        <w:rPr>
          <w:i/>
          <w:iCs/>
        </w:rPr>
        <w:t>123</w:t>
      </w:r>
      <w:r>
        <w:t>(2), 391–399. https://doi.org/10.1016/j.ophtha.2015.07.004</w:t>
      </w:r>
    </w:p>
    <w:p w14:paraId="68F593A0" w14:textId="77777777" w:rsidR="004C63FE" w:rsidRDefault="00000000">
      <w:pPr>
        <w:spacing w:before="120" w:after="120"/>
        <w:ind w:firstLine="576"/>
      </w:pPr>
      <w:r>
        <w:lastRenderedPageBreak/>
        <w:t xml:space="preserve">Cho, P., &amp; Cheung, S. W. (2012). Retardation of myopia in orthokeratology (ROMIO) study: A 2-year randomized clinical trial. </w:t>
      </w:r>
      <w:r>
        <w:rPr>
          <w:i/>
          <w:iCs/>
        </w:rPr>
        <w:t>Investigative Ophthalmology &amp; Visual Science</w:t>
      </w:r>
      <w:r>
        <w:t xml:space="preserve">, </w:t>
      </w:r>
      <w:r>
        <w:rPr>
          <w:i/>
          <w:iCs/>
        </w:rPr>
        <w:t>53</w:t>
      </w:r>
      <w:r>
        <w:t>(11), 7077–7085. https://doi.org/10.1167/iovs.12-10565</w:t>
      </w:r>
    </w:p>
    <w:p w14:paraId="302D4049" w14:textId="77777777" w:rsidR="004C63FE" w:rsidRDefault="00000000">
      <w:pPr>
        <w:spacing w:before="120" w:after="120"/>
        <w:ind w:firstLine="576"/>
      </w:pPr>
      <w:r>
        <w:t xml:space="preserve">Flitcroft, D. I. (2014). The complex interactions of retinal, optical and environmental factors in myopia </w:t>
      </w:r>
      <w:proofErr w:type="spellStart"/>
      <w:r>
        <w:t>aetiology</w:t>
      </w:r>
      <w:proofErr w:type="spellEnd"/>
      <w:r>
        <w:t xml:space="preserve">. </w:t>
      </w:r>
      <w:r>
        <w:rPr>
          <w:i/>
          <w:iCs/>
        </w:rPr>
        <w:t>Progress in Retinal and Eye Research</w:t>
      </w:r>
      <w:r>
        <w:t xml:space="preserve">, </w:t>
      </w:r>
      <w:r>
        <w:rPr>
          <w:i/>
          <w:iCs/>
        </w:rPr>
        <w:t>31</w:t>
      </w:r>
      <w:r>
        <w:t>(6), 622–660. https://doi.org/10.1016/j.preteyeres.2012.06.004</w:t>
      </w:r>
    </w:p>
    <w:p w14:paraId="5307FE38" w14:textId="77777777" w:rsidR="004C63FE" w:rsidRDefault="00000000">
      <w:pPr>
        <w:spacing w:before="120" w:after="120"/>
        <w:ind w:firstLine="576"/>
      </w:pPr>
      <w:r>
        <w:t xml:space="preserve">Flitcroft, D. I., He, M., Jonas, J. B., Jong, M., Naidoo, K., Ohno-Matsui, K., ... &amp; </w:t>
      </w:r>
      <w:proofErr w:type="spellStart"/>
      <w:r>
        <w:t>Wolffsohn</w:t>
      </w:r>
      <w:proofErr w:type="spellEnd"/>
      <w:r>
        <w:t xml:space="preserve">, J. S. (2019). IMI – Defining and classifying myopia: A proposed set of standards for clinical and epidemiologic studies. </w:t>
      </w:r>
      <w:r>
        <w:rPr>
          <w:i/>
          <w:iCs/>
        </w:rPr>
        <w:t>Investigative Ophthalmology &amp; Visual Science</w:t>
      </w:r>
      <w:r>
        <w:t xml:space="preserve">, </w:t>
      </w:r>
      <w:r>
        <w:rPr>
          <w:i/>
          <w:iCs/>
        </w:rPr>
        <w:t>60</w:t>
      </w:r>
      <w:r>
        <w:t>(3), M20–M30. https://doi.org/10.1167/iovs.18-25957</w:t>
      </w:r>
    </w:p>
    <w:p w14:paraId="74B0920B" w14:textId="77777777" w:rsidR="004C63FE" w:rsidRDefault="00000000">
      <w:pPr>
        <w:spacing w:before="120" w:after="120"/>
        <w:ind w:firstLine="576"/>
      </w:pPr>
      <w:r>
        <w:t xml:space="preserve">Gifford, K. L., Richdale, K., Kang, P., Aller, T. A., Lam, C. S., Liu, Y. M., ... &amp; Resnikoff, S. (2019). IMI – Clinical management guidelines report. </w:t>
      </w:r>
      <w:r>
        <w:rPr>
          <w:i/>
          <w:iCs/>
        </w:rPr>
        <w:t>Investigative Ophthalmology &amp; Visual Science</w:t>
      </w:r>
      <w:r>
        <w:t xml:space="preserve">, </w:t>
      </w:r>
      <w:r>
        <w:rPr>
          <w:i/>
          <w:iCs/>
        </w:rPr>
        <w:t>60</w:t>
      </w:r>
      <w:r>
        <w:t>(3), M184–M203. https://doi.org/10.1167/iovs.18-25977</w:t>
      </w:r>
    </w:p>
    <w:p w14:paraId="34DF98D2" w14:textId="77777777" w:rsidR="004C63FE" w:rsidRDefault="00000000">
      <w:pPr>
        <w:spacing w:before="120" w:after="120"/>
        <w:ind w:firstLine="576"/>
      </w:pPr>
      <w:r>
        <w:t xml:space="preserve">Ha, A., Kim, S. J., Shim, S. R., Kim, H., &amp; Jung, J. H. (2022). Efficacy and safety of 8 atropine concentrations for myopia control: A network meta-analysis. </w:t>
      </w:r>
      <w:r>
        <w:rPr>
          <w:i/>
          <w:iCs/>
        </w:rPr>
        <w:t>Ophthalmology</w:t>
      </w:r>
      <w:r>
        <w:t xml:space="preserve">, </w:t>
      </w:r>
      <w:r>
        <w:rPr>
          <w:i/>
          <w:iCs/>
        </w:rPr>
        <w:t>129</w:t>
      </w:r>
      <w:r>
        <w:t>(3), 322–333. https://doi.org/10.1016/j.ophtha.2021.10.001</w:t>
      </w:r>
    </w:p>
    <w:p w14:paraId="00F68EA1" w14:textId="77777777" w:rsidR="004C63FE" w:rsidRDefault="00000000">
      <w:pPr>
        <w:spacing w:before="120" w:after="120"/>
        <w:ind w:firstLine="576"/>
      </w:pPr>
      <w:proofErr w:type="spellStart"/>
      <w:r>
        <w:t>Ishiko</w:t>
      </w:r>
      <w:proofErr w:type="spellEnd"/>
      <w:r>
        <w:t xml:space="preserve">, S., Ono, K., Kato, T., </w:t>
      </w:r>
      <w:proofErr w:type="spellStart"/>
      <w:r>
        <w:t>Abematsu</w:t>
      </w:r>
      <w:proofErr w:type="spellEnd"/>
      <w:r>
        <w:t xml:space="preserve">, N., &amp; Yoshida, A. (2021). Impact of the pressure-free </w:t>
      </w:r>
      <w:proofErr w:type="spellStart"/>
      <w:r>
        <w:t>Yutori</w:t>
      </w:r>
      <w:proofErr w:type="spellEnd"/>
      <w:r>
        <w:t xml:space="preserve"> education program on myopia in Japan. </w:t>
      </w:r>
      <w:r>
        <w:rPr>
          <w:i/>
          <w:iCs/>
        </w:rPr>
        <w:t>PLOS ONE</w:t>
      </w:r>
      <w:r>
        <w:t xml:space="preserve">, </w:t>
      </w:r>
      <w:r>
        <w:rPr>
          <w:i/>
          <w:iCs/>
        </w:rPr>
        <w:t>16</w:t>
      </w:r>
      <w:r>
        <w:t>(9), e0257392. https://doi.org/10.1371/journal.pone.0257392</w:t>
      </w:r>
    </w:p>
    <w:p w14:paraId="0DCA5DE7" w14:textId="77777777" w:rsidR="004C63FE" w:rsidRDefault="00000000">
      <w:pPr>
        <w:spacing w:before="120" w:after="120"/>
        <w:ind w:firstLine="576"/>
      </w:pPr>
      <w:r>
        <w:t xml:space="preserve">Jakobsen, T. M., &amp; Møller, F. (2021). Control of myopia using orthokeratology lenses in Scandinavian children aged 6 to 12 years: 18-month data from the Danish randomized study. </w:t>
      </w:r>
      <w:r>
        <w:rPr>
          <w:i/>
          <w:iCs/>
        </w:rPr>
        <w:t xml:space="preserve">Acta </w:t>
      </w:r>
      <w:proofErr w:type="spellStart"/>
      <w:r>
        <w:rPr>
          <w:i/>
          <w:iCs/>
        </w:rPr>
        <w:t>Ophthalmologica</w:t>
      </w:r>
      <w:proofErr w:type="spellEnd"/>
      <w:r>
        <w:t xml:space="preserve">, </w:t>
      </w:r>
      <w:r>
        <w:rPr>
          <w:i/>
          <w:iCs/>
        </w:rPr>
        <w:t>99</w:t>
      </w:r>
      <w:r>
        <w:t>(7), 740–746. https://doi.org/10.1111/aos.14718</w:t>
      </w:r>
    </w:p>
    <w:p w14:paraId="27812F3A" w14:textId="77777777" w:rsidR="004C63FE" w:rsidRDefault="00000000">
      <w:pPr>
        <w:spacing w:before="120" w:after="120"/>
        <w:ind w:firstLine="576"/>
      </w:pPr>
      <w:r>
        <w:t xml:space="preserve">Jiang, J., Long, W., Hu, Y., Zhao, F., Zhao, W., Zheng, B., ... &amp; Yang, X. (2022). Accommodation and vergence function in children using atropine combined with orthokeratology. </w:t>
      </w:r>
      <w:r>
        <w:rPr>
          <w:i/>
          <w:iCs/>
        </w:rPr>
        <w:t>Journal of Ophthalmology</w:t>
      </w:r>
      <w:r>
        <w:t xml:space="preserve">, </w:t>
      </w:r>
      <w:r>
        <w:rPr>
          <w:i/>
          <w:iCs/>
        </w:rPr>
        <w:t>2022</w:t>
      </w:r>
      <w:r>
        <w:t>, Article 2438620. https://doi.org/10.1155/2022/2438620</w:t>
      </w:r>
    </w:p>
    <w:p w14:paraId="21FD8DEA" w14:textId="77777777" w:rsidR="004C63FE" w:rsidRDefault="00000000">
      <w:pPr>
        <w:spacing w:before="120" w:after="120"/>
        <w:ind w:firstLine="576"/>
      </w:pPr>
      <w:r>
        <w:lastRenderedPageBreak/>
        <w:t xml:space="preserve">Lam, C. S. Y., Tang, W. C., Tse, D. Y., Lee, R. P. K., Chun, R. K. M., Hasegawa, K., ... &amp; To, C. H. (2020). Defocus incorporated multiple segments (DIMS) spectacle lenses slow myopia progression: A 2-year </w:t>
      </w:r>
      <w:proofErr w:type="spellStart"/>
      <w:r>
        <w:t>randomised</w:t>
      </w:r>
      <w:proofErr w:type="spellEnd"/>
      <w:r>
        <w:t xml:space="preserve"> clinical trial. </w:t>
      </w:r>
      <w:r>
        <w:rPr>
          <w:i/>
          <w:iCs/>
        </w:rPr>
        <w:t>British Journal of Ophthalmology</w:t>
      </w:r>
      <w:r>
        <w:t xml:space="preserve">, </w:t>
      </w:r>
      <w:r>
        <w:rPr>
          <w:i/>
          <w:iCs/>
        </w:rPr>
        <w:t>104</w:t>
      </w:r>
      <w:r>
        <w:t>(3), 363–368. https://doi.org/10.1136/bjophthalmol-2018-313739</w:t>
      </w:r>
    </w:p>
    <w:p w14:paraId="173A10EE" w14:textId="77777777" w:rsidR="004C63FE" w:rsidRDefault="00000000">
      <w:pPr>
        <w:spacing w:before="120" w:after="120"/>
        <w:ind w:firstLine="576"/>
      </w:pPr>
      <w:r>
        <w:t xml:space="preserve">Lam, C. S. Y., Tang, W. C., Zhang, H. Y., Lee, P. H., Yip, S. P., Yap, M. K., &amp; To, C. H. (2023). Myopia control effect of defocus incorporated multiple segments (DIMS) spectacle lens in Chinese children: Results of a 3-year follow-up study. </w:t>
      </w:r>
      <w:r>
        <w:rPr>
          <w:i/>
          <w:iCs/>
        </w:rPr>
        <w:t>British Journal of Ophthalmology</w:t>
      </w:r>
      <w:r>
        <w:t xml:space="preserve">, </w:t>
      </w:r>
      <w:r>
        <w:rPr>
          <w:i/>
          <w:iCs/>
        </w:rPr>
        <w:t>107</w:t>
      </w:r>
      <w:r>
        <w:t>(11), 1658–1663. https://doi.org/10.1136/bjophthalmol-2020-317664</w:t>
      </w:r>
    </w:p>
    <w:p w14:paraId="29A83E29" w14:textId="77777777" w:rsidR="004C63FE" w:rsidRDefault="00000000">
      <w:pPr>
        <w:spacing w:before="120" w:after="120"/>
        <w:ind w:firstLine="576"/>
      </w:pPr>
      <w:r>
        <w:t xml:space="preserve">Li, W., et al. (2024). Hyperopic reserve as a predictor of myopia incidence in schoolchildren. </w:t>
      </w:r>
      <w:r>
        <w:rPr>
          <w:i/>
          <w:iCs/>
        </w:rPr>
        <w:t>Frontiers in Public Health</w:t>
      </w:r>
      <w:r>
        <w:t xml:space="preserve">, </w:t>
      </w:r>
      <w:r>
        <w:rPr>
          <w:i/>
          <w:iCs/>
        </w:rPr>
        <w:t>12</w:t>
      </w:r>
      <w:r>
        <w:t>, Article 1434534. https://doi.org/10.3389/fpubh.2024.1434534</w:t>
      </w:r>
    </w:p>
    <w:p w14:paraId="366575DC" w14:textId="77777777" w:rsidR="004C63FE" w:rsidRDefault="00000000">
      <w:pPr>
        <w:spacing w:before="120" w:after="120"/>
        <w:ind w:firstLine="576"/>
      </w:pPr>
      <w:r>
        <w:t xml:space="preserve">Mutti, D. O. (2009). Hereditary and environmental contributions to </w:t>
      </w:r>
      <w:proofErr w:type="spellStart"/>
      <w:r>
        <w:t>emmetropization</w:t>
      </w:r>
      <w:proofErr w:type="spellEnd"/>
      <w:r>
        <w:t xml:space="preserve"> and myopia. </w:t>
      </w:r>
      <w:r>
        <w:rPr>
          <w:i/>
          <w:iCs/>
        </w:rPr>
        <w:t>Optometry and Vision Science</w:t>
      </w:r>
      <w:r>
        <w:t xml:space="preserve">, </w:t>
      </w:r>
      <w:r>
        <w:rPr>
          <w:i/>
          <w:iCs/>
        </w:rPr>
        <w:t>87</w:t>
      </w:r>
      <w:r>
        <w:t>(4), 255–259. https://doi.org/10.1097/OPX.0b013e3181c6a09b</w:t>
      </w:r>
    </w:p>
    <w:p w14:paraId="6D675BA3" w14:textId="77777777" w:rsidR="004C63FE" w:rsidRDefault="00000000">
      <w:pPr>
        <w:spacing w:before="120" w:after="120"/>
        <w:ind w:firstLine="576"/>
      </w:pPr>
      <w:r>
        <w:t xml:space="preserve">Mutti, D. O., Mitchell, G. L., </w:t>
      </w:r>
      <w:proofErr w:type="spellStart"/>
      <w:r>
        <w:t>Moeschberger</w:t>
      </w:r>
      <w:proofErr w:type="spellEnd"/>
      <w:r>
        <w:t xml:space="preserve">, M. L., Jones, L. A., &amp; Zadnik, K. (2007). Parental myopia, near work, school achievement, and children's refractive error. </w:t>
      </w:r>
      <w:r>
        <w:rPr>
          <w:i/>
          <w:iCs/>
        </w:rPr>
        <w:t>Investigative Ophthalmology &amp; Visual Science</w:t>
      </w:r>
      <w:r>
        <w:t xml:space="preserve">, </w:t>
      </w:r>
      <w:r>
        <w:rPr>
          <w:i/>
          <w:iCs/>
        </w:rPr>
        <w:t>48</w:t>
      </w:r>
      <w:r>
        <w:t>(8), 3524–3532. https://doi.org/10.1167/iovs.06-1118</w:t>
      </w:r>
    </w:p>
    <w:p w14:paraId="31337526" w14:textId="77777777" w:rsidR="004C63FE" w:rsidRDefault="00000000">
      <w:pPr>
        <w:spacing w:before="120" w:after="120"/>
        <w:ind w:firstLine="576"/>
      </w:pPr>
      <w:r>
        <w:t xml:space="preserve">Singapore Ministry of Health. (2024, March 5). </w:t>
      </w:r>
      <w:r>
        <w:rPr>
          <w:i/>
          <w:iCs/>
        </w:rPr>
        <w:t xml:space="preserve">Effectiveness of National Myopia Prevention </w:t>
      </w:r>
      <w:proofErr w:type="spellStart"/>
      <w:r>
        <w:rPr>
          <w:i/>
          <w:iCs/>
        </w:rPr>
        <w:t>Programme's</w:t>
      </w:r>
      <w:proofErr w:type="spellEnd"/>
      <w:r>
        <w:rPr>
          <w:i/>
          <w:iCs/>
        </w:rPr>
        <w:t xml:space="preserve"> strategies for primary school students</w:t>
      </w:r>
      <w:r>
        <w:t>. Retrieved from https://www.moh.gov.sg</w:t>
      </w:r>
    </w:p>
    <w:p w14:paraId="1E22133D" w14:textId="77777777" w:rsidR="004C63FE" w:rsidRDefault="00000000">
      <w:pPr>
        <w:spacing w:before="120" w:after="120"/>
        <w:ind w:firstLine="576"/>
      </w:pPr>
      <w:r>
        <w:t xml:space="preserve">Srinivasan, S. (2025). Hyperopia and risk of accommodative esotropia. </w:t>
      </w:r>
      <w:r>
        <w:rPr>
          <w:i/>
          <w:iCs/>
        </w:rPr>
        <w:t>Journal of AAPOS</w:t>
      </w:r>
      <w:r>
        <w:t xml:space="preserve">, </w:t>
      </w:r>
      <w:r>
        <w:rPr>
          <w:i/>
          <w:iCs/>
        </w:rPr>
        <w:t>29</w:t>
      </w:r>
      <w:r>
        <w:t>(1), 3–8.</w:t>
      </w:r>
    </w:p>
    <w:p w14:paraId="1C48DC3C" w14:textId="77777777" w:rsidR="004C63FE" w:rsidRDefault="00000000">
      <w:pPr>
        <w:spacing w:before="120" w:after="120"/>
        <w:ind w:firstLine="576"/>
      </w:pPr>
      <w:r>
        <w:t xml:space="preserve">Wallman, J., &amp; Winawer, J. (2004). Homeostasis of eye growth and the question of myopia. </w:t>
      </w:r>
      <w:r>
        <w:rPr>
          <w:i/>
          <w:iCs/>
        </w:rPr>
        <w:t>Neuron</w:t>
      </w:r>
      <w:r>
        <w:t xml:space="preserve">, </w:t>
      </w:r>
      <w:r>
        <w:rPr>
          <w:i/>
          <w:iCs/>
        </w:rPr>
        <w:t>43</w:t>
      </w:r>
      <w:r>
        <w:t>(4), 447–468. https://doi.org/10.1016/j.neuron.2004.08.008</w:t>
      </w:r>
    </w:p>
    <w:p w14:paraId="3235B1CE" w14:textId="77777777" w:rsidR="004C63FE" w:rsidRDefault="00000000">
      <w:pPr>
        <w:spacing w:before="120" w:after="120"/>
        <w:ind w:firstLine="576"/>
      </w:pPr>
      <w:r>
        <w:lastRenderedPageBreak/>
        <w:t xml:space="preserve">Xiong, S., </w:t>
      </w:r>
      <w:proofErr w:type="spellStart"/>
      <w:r>
        <w:t>Sankaridurg</w:t>
      </w:r>
      <w:proofErr w:type="spellEnd"/>
      <w:r>
        <w:t xml:space="preserve">, P., </w:t>
      </w:r>
      <w:proofErr w:type="spellStart"/>
      <w:r>
        <w:t>Naduvilath</w:t>
      </w:r>
      <w:proofErr w:type="spellEnd"/>
      <w:r>
        <w:t xml:space="preserve">, T., Zang, J., Zou, H., Zhu, J., ... &amp; Xu, X. (2017). Time spent in outdoor activities in relation to myopia prevention and control: A meta-analysis and systematic review. </w:t>
      </w:r>
      <w:r>
        <w:rPr>
          <w:i/>
          <w:iCs/>
        </w:rPr>
        <w:t xml:space="preserve">Acta </w:t>
      </w:r>
      <w:proofErr w:type="spellStart"/>
      <w:r>
        <w:rPr>
          <w:i/>
          <w:iCs/>
        </w:rPr>
        <w:t>Ophthalmologica</w:t>
      </w:r>
      <w:proofErr w:type="spellEnd"/>
      <w:r>
        <w:t xml:space="preserve">, </w:t>
      </w:r>
      <w:r>
        <w:rPr>
          <w:i/>
          <w:iCs/>
        </w:rPr>
        <w:t>95</w:t>
      </w:r>
      <w:r>
        <w:t>(6), 551–566. https://doi.org/10.1111/aos.13403</w:t>
      </w:r>
    </w:p>
    <w:p w14:paraId="50F2F4AA" w14:textId="77777777" w:rsidR="004C63FE" w:rsidRDefault="00000000">
      <w:pPr>
        <w:spacing w:before="120" w:after="120"/>
        <w:ind w:firstLine="576"/>
      </w:pPr>
      <w:r>
        <w:t xml:space="preserve">Yam, J. C., Jiang, Y., Tang, S. M., Law, A. K. P., Chan, J. J., Wong, E., ... &amp; Pang, C. P. (2019). Low-concentration atropine for myopia progression (LAMP) study: A randomized, double-blinded, placebo-controlled trial of 0.05%, 0.025%, and 0.01% atropine eye drops in myopia control. </w:t>
      </w:r>
      <w:r>
        <w:rPr>
          <w:i/>
          <w:iCs/>
        </w:rPr>
        <w:t>Ophthalmology</w:t>
      </w:r>
      <w:r>
        <w:t xml:space="preserve">, </w:t>
      </w:r>
      <w:r>
        <w:rPr>
          <w:i/>
          <w:iCs/>
        </w:rPr>
        <w:t>126</w:t>
      </w:r>
      <w:r>
        <w:t>(1), 113–124. https://doi.org/10.1016/j.ophtha.2018.05.029</w:t>
      </w:r>
    </w:p>
    <w:p w14:paraId="13A10CE1" w14:textId="77777777" w:rsidR="004C63FE" w:rsidRDefault="00000000">
      <w:pPr>
        <w:spacing w:before="120" w:after="120"/>
        <w:ind w:firstLine="576"/>
      </w:pPr>
      <w:r>
        <w:t xml:space="preserve">Yam, J. C., Zhang, X. J., Zhang, Y., Wang, Y. M., Tang, F., Li, F. F., ... &amp; Pang, C. P. (2022). Three-year clinical trial of low-concentration atropine for myopia progression (LAMP) study: Continued versus washout. </w:t>
      </w:r>
      <w:r>
        <w:rPr>
          <w:i/>
          <w:iCs/>
        </w:rPr>
        <w:t>Ophthalmology</w:t>
      </w:r>
      <w:r>
        <w:t xml:space="preserve">, </w:t>
      </w:r>
      <w:r>
        <w:rPr>
          <w:i/>
          <w:iCs/>
        </w:rPr>
        <w:t>129</w:t>
      </w:r>
      <w:r>
        <w:t>(3), 308–321. https://doi.org/10.1016/j.ophtha.2021.10.002</w:t>
      </w:r>
    </w:p>
    <w:p w14:paraId="2477D587" w14:textId="77777777" w:rsidR="004C63FE" w:rsidRDefault="00000000">
      <w:pPr>
        <w:spacing w:before="120" w:after="120"/>
        <w:ind w:firstLine="576"/>
      </w:pPr>
      <w:r>
        <w:t xml:space="preserve">Yue, Z., et al. (2025). Hyperopic reserve thresholds for myopia prediction in school-aged children. </w:t>
      </w:r>
      <w:r>
        <w:rPr>
          <w:i/>
          <w:iCs/>
        </w:rPr>
        <w:t>British Journal of Ophthalmology</w:t>
      </w:r>
      <w:r>
        <w:t xml:space="preserve">, </w:t>
      </w:r>
      <w:r>
        <w:rPr>
          <w:i/>
          <w:iCs/>
        </w:rPr>
        <w:t>109</w:t>
      </w:r>
      <w:r>
        <w:t>(2), 112–118.</w:t>
      </w:r>
    </w:p>
    <w:p w14:paraId="244761F4" w14:textId="77777777" w:rsidR="004C63FE" w:rsidRDefault="00000000">
      <w:pPr>
        <w:spacing w:before="120" w:after="120"/>
        <w:ind w:firstLine="576"/>
      </w:pPr>
      <w:r>
        <w:t xml:space="preserve">Zadnik, K., Sinnott, L. T., Cotter, S. A., Jones-Jordan, L. A., Kleinstein, R. N., Manny, R. E., ... &amp; Mutti, D. O. (2015). Prediction of juvenile-onset myopia. </w:t>
      </w:r>
      <w:r>
        <w:rPr>
          <w:i/>
          <w:iCs/>
        </w:rPr>
        <w:t>JAMA Ophthalmology</w:t>
      </w:r>
      <w:r>
        <w:t xml:space="preserve">, </w:t>
      </w:r>
      <w:r>
        <w:rPr>
          <w:i/>
          <w:iCs/>
        </w:rPr>
        <w:t>133</w:t>
      </w:r>
      <w:r>
        <w:t>(6), 683–689. https://doi.org/10.1001/jamaophthalmol.2015.0471</w:t>
      </w:r>
    </w:p>
    <w:p w14:paraId="6185932C" w14:textId="77777777" w:rsidR="004C63FE" w:rsidRDefault="00000000">
      <w:pPr>
        <w:pStyle w:val="3"/>
        <w:spacing w:before="280" w:after="140"/>
      </w:pPr>
      <w:r>
        <w:t>國內資料</w:t>
      </w:r>
    </w:p>
    <w:p w14:paraId="5C6BEE67" w14:textId="77777777" w:rsidR="004C63FE" w:rsidRDefault="00000000">
      <w:pPr>
        <w:spacing w:before="120" w:after="120"/>
        <w:ind w:firstLine="576"/>
      </w:pPr>
      <w:r>
        <w:t>中央社（</w:t>
      </w:r>
      <w:r>
        <w:t>2021</w:t>
      </w:r>
      <w:r>
        <w:t>年</w:t>
      </w:r>
      <w:r>
        <w:t>9</w:t>
      </w:r>
      <w:r>
        <w:t>月</w:t>
      </w:r>
      <w:r>
        <w:t>22</w:t>
      </w:r>
      <w:r>
        <w:t>日）。</w:t>
      </w:r>
      <w:r>
        <w:rPr>
          <w:i/>
          <w:iCs/>
        </w:rPr>
        <w:t>視光協會赴連江外島義診　一</w:t>
      </w:r>
      <w:r>
        <w:rPr>
          <w:i/>
          <w:iCs/>
        </w:rPr>
        <w:t>○○</w:t>
      </w:r>
      <w:r>
        <w:rPr>
          <w:i/>
          <w:iCs/>
        </w:rPr>
        <w:t>學童受惠</w:t>
      </w:r>
      <w:r>
        <w:t>。中央通訊社。檢自</w:t>
      </w:r>
      <w:r>
        <w:t xml:space="preserve"> https://www.cna.com.tw/</w:t>
      </w:r>
    </w:p>
    <w:p w14:paraId="33A5C314" w14:textId="77777777" w:rsidR="004C63FE" w:rsidRDefault="00000000">
      <w:pPr>
        <w:spacing w:before="120" w:after="120"/>
        <w:ind w:firstLine="576"/>
      </w:pPr>
      <w:r>
        <w:t>中華民國教育統計（</w:t>
      </w:r>
      <w:r>
        <w:t>2011</w:t>
      </w:r>
      <w:r>
        <w:t>）。</w:t>
      </w:r>
      <w:r>
        <w:rPr>
          <w:i/>
          <w:iCs/>
        </w:rPr>
        <w:t>100</w:t>
      </w:r>
      <w:r>
        <w:rPr>
          <w:i/>
          <w:iCs/>
        </w:rPr>
        <w:t>學年度學生健康狀況調查報告</w:t>
      </w:r>
      <w:r>
        <w:t>。教育部。</w:t>
      </w:r>
    </w:p>
    <w:p w14:paraId="7939B20D" w14:textId="77777777" w:rsidR="004C63FE" w:rsidRDefault="00000000">
      <w:pPr>
        <w:spacing w:before="120" w:after="120"/>
        <w:ind w:firstLine="576"/>
      </w:pPr>
      <w:r>
        <w:t>東引鄉公所（</w:t>
      </w:r>
      <w:r>
        <w:t>2025</w:t>
      </w:r>
      <w:r>
        <w:t>年</w:t>
      </w:r>
      <w:r>
        <w:t>1</w:t>
      </w:r>
      <w:r>
        <w:t>月）。</w:t>
      </w:r>
      <w:r>
        <w:rPr>
          <w:i/>
          <w:iCs/>
        </w:rPr>
        <w:t>臺灣視光視力保健學會東引服務紀實</w:t>
      </w:r>
      <w:r>
        <w:t>。連江縣東引鄉公所。</w:t>
      </w:r>
    </w:p>
    <w:p w14:paraId="35708A1E" w14:textId="77777777" w:rsidR="004C63FE" w:rsidRDefault="00000000">
      <w:pPr>
        <w:spacing w:before="120" w:after="120"/>
        <w:ind w:firstLine="576"/>
      </w:pPr>
      <w:r>
        <w:t>馬祖日報（</w:t>
      </w:r>
      <w:r>
        <w:t>2021</w:t>
      </w:r>
      <w:r>
        <w:t>年</w:t>
      </w:r>
      <w:r>
        <w:t>9</w:t>
      </w:r>
      <w:r>
        <w:t>月</w:t>
      </w:r>
      <w:r>
        <w:t>22</w:t>
      </w:r>
      <w:r>
        <w:t>日）。</w:t>
      </w:r>
      <w:r>
        <w:rPr>
          <w:i/>
          <w:iCs/>
        </w:rPr>
        <w:t>敬恆國中小視力篩檢　百名學童受惠</w:t>
      </w:r>
      <w:r>
        <w:t>。</w:t>
      </w:r>
      <w:r>
        <w:lastRenderedPageBreak/>
        <w:t>檢自</w:t>
      </w:r>
      <w:r>
        <w:t xml:space="preserve"> https://www.matsu-news.gov.tw/</w:t>
      </w:r>
    </w:p>
    <w:p w14:paraId="396F823B" w14:textId="77777777" w:rsidR="004C63FE" w:rsidRDefault="00000000">
      <w:pPr>
        <w:spacing w:before="120" w:after="120"/>
        <w:ind w:firstLine="576"/>
      </w:pPr>
      <w:r>
        <w:t>馬祖日報（</w:t>
      </w:r>
      <w:r>
        <w:t>2024</w:t>
      </w:r>
      <w:r>
        <w:t>年</w:t>
      </w:r>
      <w:r>
        <w:t>12</w:t>
      </w:r>
      <w:r>
        <w:t>月）。</w:t>
      </w:r>
      <w:r>
        <w:rPr>
          <w:i/>
          <w:iCs/>
        </w:rPr>
        <w:t>視光協會連續</w:t>
      </w:r>
      <w:r>
        <w:rPr>
          <w:i/>
          <w:iCs/>
        </w:rPr>
        <w:t>12</w:t>
      </w:r>
      <w:r>
        <w:rPr>
          <w:i/>
          <w:iCs/>
        </w:rPr>
        <w:t>年馬祖義診</w:t>
      </w:r>
      <w:r>
        <w:t>。檢自</w:t>
      </w:r>
      <w:r>
        <w:t xml:space="preserve"> https://www.matsu-news.gov.tw/</w:t>
      </w:r>
    </w:p>
    <w:p w14:paraId="05E3E967" w14:textId="77777777" w:rsidR="004C63FE" w:rsidRDefault="00000000">
      <w:pPr>
        <w:spacing w:before="120" w:after="120"/>
        <w:ind w:firstLine="576"/>
      </w:pPr>
      <w:r>
        <w:t>馬祖日報（</w:t>
      </w:r>
      <w:r>
        <w:t>2025</w:t>
      </w:r>
      <w:r>
        <w:t>年</w:t>
      </w:r>
      <w:r>
        <w:t>1</w:t>
      </w:r>
      <w:r>
        <w:t>月）。</w:t>
      </w:r>
      <w:r>
        <w:rPr>
          <w:i/>
          <w:iCs/>
        </w:rPr>
        <w:t>視光系學生參與馬祖服務學習</w:t>
      </w:r>
      <w:r>
        <w:t>。檢自</w:t>
      </w:r>
      <w:r>
        <w:t xml:space="preserve"> https://www.matsu-news.gov.tw/</w:t>
      </w:r>
    </w:p>
    <w:p w14:paraId="137DD156" w14:textId="77777777" w:rsidR="004C63FE" w:rsidRDefault="00000000">
      <w:pPr>
        <w:spacing w:before="120" w:after="120"/>
        <w:ind w:firstLine="576"/>
      </w:pPr>
      <w:r>
        <w:t>連江縣政府（</w:t>
      </w:r>
      <w:r>
        <w:t>2025</w:t>
      </w:r>
      <w:r>
        <w:t>）。</w:t>
      </w:r>
      <w:r>
        <w:rPr>
          <w:i/>
          <w:iCs/>
        </w:rPr>
        <w:t>113</w:t>
      </w:r>
      <w:r>
        <w:rPr>
          <w:i/>
          <w:iCs/>
        </w:rPr>
        <w:t>學年度學生健康檢查統計</w:t>
      </w:r>
      <w:r>
        <w:t>。連江縣政府教育處。</w:t>
      </w:r>
    </w:p>
    <w:p w14:paraId="5CD49D91" w14:textId="77777777" w:rsidR="004C63FE" w:rsidRDefault="00000000">
      <w:pPr>
        <w:spacing w:before="120" w:after="120"/>
        <w:ind w:firstLine="576"/>
      </w:pPr>
      <w:r>
        <w:t>連江縣教育處（</w:t>
      </w:r>
      <w:r>
        <w:t>2024</w:t>
      </w:r>
      <w:r>
        <w:t>）。</w:t>
      </w:r>
      <w:r>
        <w:rPr>
          <w:i/>
          <w:iCs/>
        </w:rPr>
        <w:t>113</w:t>
      </w:r>
      <w:r>
        <w:rPr>
          <w:i/>
          <w:iCs/>
        </w:rPr>
        <w:t>學年度國民中學視力不良率統計</w:t>
      </w:r>
      <w:r>
        <w:t>。連江縣政府。</w:t>
      </w:r>
    </w:p>
    <w:p w14:paraId="63ADAEE5" w14:textId="77777777" w:rsidR="004C63FE" w:rsidRDefault="00000000">
      <w:pPr>
        <w:spacing w:before="120" w:after="120"/>
        <w:ind w:firstLine="576"/>
      </w:pPr>
      <w:r>
        <w:t>教育部國民及學前教育署（</w:t>
      </w:r>
      <w:r>
        <w:t>2024</w:t>
      </w:r>
      <w:r>
        <w:t>）。</w:t>
      </w:r>
      <w:r>
        <w:rPr>
          <w:i/>
          <w:iCs/>
        </w:rPr>
        <w:t>112</w:t>
      </w:r>
      <w:r>
        <w:rPr>
          <w:i/>
          <w:iCs/>
        </w:rPr>
        <w:t>學年度學生健康狀況統計</w:t>
      </w:r>
      <w:r>
        <w:t>。教育部。</w:t>
      </w:r>
    </w:p>
    <w:p w14:paraId="191B84A0" w14:textId="77777777" w:rsidR="004C63FE" w:rsidRDefault="00000000">
      <w:pPr>
        <w:spacing w:before="120" w:after="120"/>
        <w:ind w:firstLine="576"/>
      </w:pPr>
      <w:r>
        <w:t>臺灣視光視力保健學會（</w:t>
      </w:r>
      <w:r>
        <w:t>2026</w:t>
      </w:r>
      <w:r>
        <w:t>）。</w:t>
      </w:r>
      <w:r>
        <w:rPr>
          <w:i/>
          <w:iCs/>
        </w:rPr>
        <w:t>高級中等以下學校學生視力保健手冊</w:t>
      </w:r>
      <w:r>
        <w:t>（未發表手稿）。臺灣視光視力保健學會。</w:t>
      </w:r>
    </w:p>
    <w:p w14:paraId="4FBBA426" w14:textId="77777777" w:rsidR="004C63FE" w:rsidRDefault="00000000">
      <w:pPr>
        <w:spacing w:before="60" w:after="60"/>
      </w:pPr>
      <w:r>
        <w:rPr>
          <w:i/>
          <w:iCs/>
          <w:sz w:val="18"/>
          <w:szCs w:val="18"/>
        </w:rPr>
        <w:t>備註：</w:t>
      </w:r>
    </w:p>
    <w:p w14:paraId="6C951E38" w14:textId="77777777" w:rsidR="004C63FE" w:rsidRDefault="00000000">
      <w:pPr>
        <w:pStyle w:val="a4"/>
        <w:numPr>
          <w:ilvl w:val="0"/>
          <w:numId w:val="1"/>
        </w:numPr>
        <w:spacing w:before="80" w:after="80"/>
      </w:pPr>
      <w:r>
        <w:rPr>
          <w:i/>
          <w:iCs/>
        </w:rPr>
        <w:t>「張麗春</w:t>
      </w:r>
      <w:r>
        <w:rPr>
          <w:i/>
          <w:iCs/>
        </w:rPr>
        <w:t xml:space="preserve"> </w:t>
      </w:r>
      <w:r>
        <w:rPr>
          <w:i/>
          <w:iCs/>
        </w:rPr>
        <w:t>教授」之段落（第</w:t>
      </w:r>
      <w:r>
        <w:rPr>
          <w:i/>
          <w:iCs/>
        </w:rPr>
        <w:t xml:space="preserve"> 2.3 </w:t>
      </w:r>
      <w:r>
        <w:rPr>
          <w:i/>
          <w:iCs/>
        </w:rPr>
        <w:t>節、第</w:t>
      </w:r>
      <w:r>
        <w:rPr>
          <w:i/>
          <w:iCs/>
        </w:rPr>
        <w:t xml:space="preserve"> 3.1 </w:t>
      </w:r>
      <w:r>
        <w:rPr>
          <w:i/>
          <w:iCs/>
        </w:rPr>
        <w:t>節），待教授補充內容。</w:t>
      </w:r>
    </w:p>
    <w:p w14:paraId="2FB53112" w14:textId="77777777" w:rsidR="004C63FE" w:rsidRDefault="00000000">
      <w:pPr>
        <w:pStyle w:val="a4"/>
        <w:numPr>
          <w:ilvl w:val="0"/>
          <w:numId w:val="1"/>
        </w:numPr>
        <w:spacing w:before="80" w:after="80"/>
      </w:pPr>
      <w:r>
        <w:rPr>
          <w:i/>
          <w:iCs/>
        </w:rPr>
        <w:t>表</w:t>
      </w:r>
      <w:r>
        <w:rPr>
          <w:i/>
          <w:iCs/>
        </w:rPr>
        <w:t>1</w:t>
      </w:r>
      <w:r>
        <w:rPr>
          <w:i/>
          <w:iCs/>
        </w:rPr>
        <w:t>資料來源：臺灣視光視力保健學會內部配鏡紀錄（</w:t>
      </w:r>
      <w:r>
        <w:rPr>
          <w:i/>
          <w:iCs/>
        </w:rPr>
        <w:t>111–114</w:t>
      </w:r>
      <w:r>
        <w:rPr>
          <w:i/>
          <w:iCs/>
        </w:rPr>
        <w:t>學年度）。</w:t>
      </w:r>
    </w:p>
    <w:p w14:paraId="55285A93" w14:textId="77777777" w:rsidR="004C63FE" w:rsidRDefault="00000000">
      <w:pPr>
        <w:pStyle w:val="a4"/>
        <w:numPr>
          <w:ilvl w:val="0"/>
          <w:numId w:val="1"/>
        </w:numPr>
        <w:spacing w:before="80" w:after="80"/>
      </w:pPr>
      <w:r>
        <w:rPr>
          <w:i/>
          <w:iCs/>
        </w:rPr>
        <w:t>圖</w:t>
      </w:r>
      <w:r>
        <w:rPr>
          <w:i/>
          <w:iCs/>
        </w:rPr>
        <w:t>1</w:t>
      </w:r>
      <w:r>
        <w:rPr>
          <w:i/>
          <w:iCs/>
        </w:rPr>
        <w:t>請插入附件圖檔「馬祖配鏡人數統計</w:t>
      </w:r>
      <w:r>
        <w:rPr>
          <w:i/>
          <w:iCs/>
        </w:rPr>
        <w:t>.</w:t>
      </w:r>
      <w:proofErr w:type="spellStart"/>
      <w:r>
        <w:rPr>
          <w:i/>
          <w:iCs/>
        </w:rPr>
        <w:t>png</w:t>
      </w:r>
      <w:proofErr w:type="spellEnd"/>
      <w:r>
        <w:rPr>
          <w:i/>
          <w:iCs/>
        </w:rPr>
        <w:t>」。</w:t>
      </w:r>
    </w:p>
    <w:sectPr w:rsidR="004C63FE">
      <w:footerReference w:type="default" r:id="rId7"/>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B6F7B" w14:textId="77777777" w:rsidR="00C7145B" w:rsidRDefault="00C7145B">
      <w:pPr>
        <w:spacing w:line="240" w:lineRule="auto"/>
      </w:pPr>
      <w:r>
        <w:separator/>
      </w:r>
    </w:p>
  </w:endnote>
  <w:endnote w:type="continuationSeparator" w:id="0">
    <w:p w14:paraId="64A0C995" w14:textId="77777777" w:rsidR="00C7145B" w:rsidRDefault="00C714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D9A1" w14:textId="77777777" w:rsidR="004C63FE" w:rsidRDefault="00000000">
    <w:pPr>
      <w:jc w:val="center"/>
    </w:pPr>
    <w:r>
      <w:rPr>
        <w:sz w:val="18"/>
        <w:szCs w:val="18"/>
      </w:rPr>
      <w:fldChar w:fldCharType="begin"/>
    </w:r>
    <w:r>
      <w:rPr>
        <w:sz w:val="18"/>
        <w:szCs w:val="18"/>
      </w:rPr>
      <w:instrText>PAGE</w:instrText>
    </w:r>
    <w:r>
      <w:rPr>
        <w:sz w:val="18"/>
        <w:szCs w:val="18"/>
      </w:rPr>
      <w:fldChar w:fldCharType="separate"/>
    </w:r>
    <w:r w:rsidR="008B147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0580D" w14:textId="77777777" w:rsidR="00C7145B" w:rsidRDefault="00C7145B">
      <w:pPr>
        <w:spacing w:line="240" w:lineRule="auto"/>
      </w:pPr>
      <w:r>
        <w:separator/>
      </w:r>
    </w:p>
  </w:footnote>
  <w:footnote w:type="continuationSeparator" w:id="0">
    <w:p w14:paraId="33BFEEE1" w14:textId="77777777" w:rsidR="00C7145B" w:rsidRDefault="00C714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1AF1"/>
    <w:multiLevelType w:val="hybridMultilevel"/>
    <w:tmpl w:val="4C782608"/>
    <w:lvl w:ilvl="0" w:tplc="53C8902C">
      <w:start w:val="1"/>
      <w:numFmt w:val="bullet"/>
      <w:lvlText w:val="●"/>
      <w:lvlJc w:val="left"/>
      <w:pPr>
        <w:ind w:left="720" w:hanging="360"/>
      </w:pPr>
    </w:lvl>
    <w:lvl w:ilvl="1" w:tplc="7AC2CB60">
      <w:start w:val="1"/>
      <w:numFmt w:val="bullet"/>
      <w:lvlText w:val="○"/>
      <w:lvlJc w:val="left"/>
      <w:pPr>
        <w:ind w:left="1440" w:hanging="360"/>
      </w:pPr>
    </w:lvl>
    <w:lvl w:ilvl="2" w:tplc="B888BC24">
      <w:start w:val="1"/>
      <w:numFmt w:val="bullet"/>
      <w:lvlText w:val="■"/>
      <w:lvlJc w:val="left"/>
      <w:pPr>
        <w:ind w:left="2160" w:hanging="360"/>
      </w:pPr>
    </w:lvl>
    <w:lvl w:ilvl="3" w:tplc="5F129236">
      <w:start w:val="1"/>
      <w:numFmt w:val="bullet"/>
      <w:lvlText w:val="●"/>
      <w:lvlJc w:val="left"/>
      <w:pPr>
        <w:ind w:left="2880" w:hanging="360"/>
      </w:pPr>
    </w:lvl>
    <w:lvl w:ilvl="4" w:tplc="875C51A8">
      <w:start w:val="1"/>
      <w:numFmt w:val="bullet"/>
      <w:lvlText w:val="○"/>
      <w:lvlJc w:val="left"/>
      <w:pPr>
        <w:ind w:left="3600" w:hanging="360"/>
      </w:pPr>
    </w:lvl>
    <w:lvl w:ilvl="5" w:tplc="017A1064">
      <w:start w:val="1"/>
      <w:numFmt w:val="bullet"/>
      <w:lvlText w:val="■"/>
      <w:lvlJc w:val="left"/>
      <w:pPr>
        <w:ind w:left="4320" w:hanging="360"/>
      </w:pPr>
    </w:lvl>
    <w:lvl w:ilvl="6" w:tplc="2B76AF6E">
      <w:start w:val="1"/>
      <w:numFmt w:val="bullet"/>
      <w:lvlText w:val="●"/>
      <w:lvlJc w:val="left"/>
      <w:pPr>
        <w:ind w:left="5040" w:hanging="360"/>
      </w:pPr>
    </w:lvl>
    <w:lvl w:ilvl="7" w:tplc="91FAC21C">
      <w:start w:val="1"/>
      <w:numFmt w:val="bullet"/>
      <w:lvlText w:val="●"/>
      <w:lvlJc w:val="left"/>
      <w:pPr>
        <w:ind w:left="5760" w:hanging="360"/>
      </w:pPr>
    </w:lvl>
    <w:lvl w:ilvl="8" w:tplc="27EAC27A">
      <w:start w:val="1"/>
      <w:numFmt w:val="bullet"/>
      <w:lvlText w:val="●"/>
      <w:lvlJc w:val="left"/>
      <w:pPr>
        <w:ind w:left="6480" w:hanging="360"/>
      </w:pPr>
    </w:lvl>
  </w:abstractNum>
  <w:abstractNum w:abstractNumId="1" w15:restartNumberingAfterBreak="0">
    <w:nsid w:val="1E7C22B8"/>
    <w:multiLevelType w:val="hybridMultilevel"/>
    <w:tmpl w:val="4882147A"/>
    <w:lvl w:ilvl="0" w:tplc="0046E07A">
      <w:start w:val="1"/>
      <w:numFmt w:val="decimal"/>
      <w:lvlText w:val="%1."/>
      <w:lvlJc w:val="left"/>
      <w:pPr>
        <w:ind w:left="720" w:hanging="360"/>
      </w:pPr>
      <w:rPr>
        <w:rFonts w:ascii="Times New Roman" w:eastAsia="標楷體"/>
        <w:sz w:val="24"/>
        <w:szCs w:val="24"/>
      </w:rPr>
    </w:lvl>
    <w:lvl w:ilvl="1" w:tplc="2338A128">
      <w:numFmt w:val="decimal"/>
      <w:lvlText w:val=""/>
      <w:lvlJc w:val="left"/>
    </w:lvl>
    <w:lvl w:ilvl="2" w:tplc="25941BC8">
      <w:numFmt w:val="decimal"/>
      <w:lvlText w:val=""/>
      <w:lvlJc w:val="left"/>
    </w:lvl>
    <w:lvl w:ilvl="3" w:tplc="1C241940">
      <w:numFmt w:val="decimal"/>
      <w:lvlText w:val=""/>
      <w:lvlJc w:val="left"/>
    </w:lvl>
    <w:lvl w:ilvl="4" w:tplc="2EBEB6B6">
      <w:numFmt w:val="decimal"/>
      <w:lvlText w:val=""/>
      <w:lvlJc w:val="left"/>
    </w:lvl>
    <w:lvl w:ilvl="5" w:tplc="03588ACA">
      <w:numFmt w:val="decimal"/>
      <w:lvlText w:val=""/>
      <w:lvlJc w:val="left"/>
    </w:lvl>
    <w:lvl w:ilvl="6" w:tplc="0BAAD804">
      <w:numFmt w:val="decimal"/>
      <w:lvlText w:val=""/>
      <w:lvlJc w:val="left"/>
    </w:lvl>
    <w:lvl w:ilvl="7" w:tplc="8FA8A868">
      <w:numFmt w:val="decimal"/>
      <w:lvlText w:val=""/>
      <w:lvlJc w:val="left"/>
    </w:lvl>
    <w:lvl w:ilvl="8" w:tplc="37BA69AA">
      <w:numFmt w:val="decimal"/>
      <w:lvlText w:val=""/>
      <w:lvlJc w:val="left"/>
    </w:lvl>
  </w:abstractNum>
  <w:num w:numId="1" w16cid:durableId="662706177">
    <w:abstractNumId w:val="0"/>
    <w:lvlOverride w:ilvl="0">
      <w:startOverride w:val="1"/>
    </w:lvlOverride>
  </w:num>
  <w:num w:numId="2" w16cid:durableId="678390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3FE"/>
    <w:rsid w:val="004C63FE"/>
    <w:rsid w:val="008B147F"/>
    <w:rsid w:val="00C7145B"/>
    <w:rsid w:val="00CA60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725BB"/>
  <w15:docId w15:val="{2202E0F7-19B3-49FC-B275-EDBF52C9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sz w:val="24"/>
        <w:szCs w:val="24"/>
        <w:lang w:val="en-US" w:eastAsia="zh-TW" w:bidi="ar-SA"/>
      </w:rPr>
    </w:rPrDefault>
    <w:pPrDefault>
      <w:pPr>
        <w:spacing w:line="4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1F3864"/>
      <w:sz w:val="36"/>
      <w:szCs w:val="36"/>
    </w:rPr>
  </w:style>
  <w:style w:type="paragraph" w:styleId="2">
    <w:name w:val="heading 2"/>
    <w:uiPriority w:val="9"/>
    <w:unhideWhenUsed/>
    <w:qFormat/>
    <w:pPr>
      <w:outlineLvl w:val="1"/>
    </w:pPr>
    <w:rPr>
      <w:b/>
      <w:bCs/>
      <w:color w:val="2E74B5"/>
      <w:sz w:val="32"/>
      <w:szCs w:val="32"/>
    </w:rPr>
  </w:style>
  <w:style w:type="paragraph" w:styleId="3">
    <w:name w:val="heading 3"/>
    <w:uiPriority w:val="9"/>
    <w:unhideWhenUsed/>
    <w:qFormat/>
    <w:pPr>
      <w:outlineLvl w:val="2"/>
    </w:pPr>
    <w:rPr>
      <w:b/>
      <w:bCs/>
      <w:color w:val="404040"/>
      <w:sz w:val="28"/>
      <w:szCs w:val="28"/>
    </w:rPr>
  </w:style>
  <w:style w:type="paragraph" w:styleId="4">
    <w:name w:val="heading 4"/>
    <w:uiPriority w:val="9"/>
    <w:unhideWhenUsed/>
    <w:qFormat/>
    <w:pPr>
      <w:outlineLvl w:val="3"/>
    </w:pPr>
    <w:rPr>
      <w:b/>
      <w:bCs/>
      <w:color w:val="404040"/>
      <w:sz w:val="26"/>
      <w:szCs w:val="26"/>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2393</Words>
  <Characters>13645</Characters>
  <Application>Microsoft Office Word</Application>
  <DocSecurity>0</DocSecurity>
  <Lines>113</Lines>
  <Paragraphs>32</Paragraphs>
  <ScaleCrop>false</ScaleCrop>
  <Company/>
  <LinksUpToDate>false</LinksUpToDate>
  <CharactersWithSpaces>16006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錫彥 李</cp:lastModifiedBy>
  <cp:revision>2</cp:revision>
  <dcterms:created xsi:type="dcterms:W3CDTF">2026-03-02T07:31:00Z</dcterms:created>
  <dcterms:modified xsi:type="dcterms:W3CDTF">2026-03-02T07:42:00Z</dcterms:modified>
</cp:coreProperties>
</file>