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</w:t>
      </w:r>
    </w:p>
    <w:p>
      <w:pPr/>
      <w:r>
        <w:t>2026 年 2 月（部落格數據同步正式版）</w:t>
      </w:r>
    </w:p>
    <w:p>
      <w:pPr>
        <w:pStyle w:val="Heading3"/>
      </w:pPr>
      <w:r>
        <w:rPr>
          <w:b/>
        </w:rPr>
        <w:t>第一章：前言與視力變遷報告</w:t>
      </w:r>
    </w:p>
    <w:p>
      <w:pPr/>
      <w:r>
        <w:t>根據《臺灣學生視力變遷報告》數據，台灣學童視力不良率呈現「階梯式惡化」的結構性問題。</w:t>
      </w:r>
    </w:p>
    <w:p>
      <w:pPr/>
      <w:r>
        <w:t>1.1 關鍵數據與趨勢 (93-113 學年度)</w:t>
      </w:r>
    </w:p>
    <w:p>
      <w:pPr/>
      <w:r>
        <w:t>根據教育部 20 年長期追蹤數據：</w:t>
      </w:r>
    </w:p>
    <w:p>
      <w:pPr/>
      <w:r>
        <w:t>* 國小六年級 (P6) 視力不良率：由 94 學年度 (2005) 之 54.8% 持續攀升，於 100 學年度 (2011) 達到 65.0% 之歷史高峰。</w:t>
      </w:r>
    </w:p>
    <w:p>
      <w:pPr/>
      <w:r>
        <w:t>* 最新現況：至 113 學年度 (2024)，數據回落至 61.5%，但結構性惡化依然嚴峻。</w:t>
      </w:r>
    </w:p>
    <w:p>
      <w:pPr/>
      <w:r>
        <w:t>* 警訊：高中三年級視力不良率已穩定超過 80%，高度近視風險極高。</w:t>
      </w:r>
    </w:p>
    <w:p>
      <w:pPr/>
      <w:r>
        <w:t>1.2 視力惡化的兩個「失速點」</w:t>
      </w:r>
    </w:p>
    <w:p>
      <w:pPr/>
      <w:r>
        <w:t>1. 國小中年級「調節壓力期」：課業增量導致近距離用眼需求暴增。</w:t>
      </w:r>
    </w:p>
    <w:p>
      <w:pPr/>
      <w:r>
        <w:t>2. 國小升國中「近視加速期」：生理發育與學業壓力交織，眼軸增長速度最快。</w:t>
      </w:r>
    </w:p>
    <w:p>
      <w:pPr>
        <w:pStyle w:val="Heading3"/>
      </w:pPr>
      <w:r>
        <w:rPr>
          <w:b/>
        </w:rPr>
        <w:t>第四章：近視控制之科學介入</w:t>
      </w:r>
    </w:p>
    <w:p>
      <w:pPr/>
      <w:r>
        <w:t>4.1 藥物干預：阿托品 (Atropine)</w:t>
      </w:r>
    </w:p>
    <w:p>
      <w:pPr/>
      <w:r>
        <w:t>* 最佳濃度：0.05% 是目前國際公認之「黃金平衡點」，兼顧控制效果與低副作用。</w:t>
      </w:r>
    </w:p>
    <w:p>
      <w:pPr/>
      <w:r>
        <w:t>* 停藥管理：應重視停藥反彈效應（Rebound Effect），建議採取「階梯式減量」停藥。</w:t>
      </w:r>
    </w:p>
    <w:p>
      <w:pPr/>
      <w:r>
        <w:t>4.2 光學矯正：主覺驗光之必要性</w:t>
      </w:r>
    </w:p>
    <w:p>
      <w:pPr/>
      <w:r>
        <w:t>* 基礎矯正原則：主張「行為管控為根本」。光學工具需建立在充足戶外活動（每天 1-2 小時）基礎上。</w:t>
      </w:r>
    </w:p>
    <w:p>
      <w:pPr/>
      <w:r>
        <w:t>* 堅持專業主覺驗光：真正的處方不應僅依賴電腦驗光機。必須由驗光師執行精密的主覺驗光，考量雙眼協調性與視覺品質。</w:t>
      </w:r>
    </w:p>
    <w:p>
      <w:pPr>
        <w:pStyle w:val="Heading3"/>
      </w:pPr>
      <w:r>
        <w:rPr>
          <w:b/>
        </w:rPr>
        <w:t>第五章：體系優化與政策建言</w:t>
      </w:r>
    </w:p>
    <w:p>
      <w:pPr/>
      <w:r>
        <w:t>8.4 政策轉型策略</w:t>
      </w:r>
    </w:p>
    <w:p>
      <w:pPr/>
      <w:r>
        <w:t>1. 監測「年增長率」：將「近視度數年增長率」納入正式考核 KPI。</w:t>
      </w:r>
    </w:p>
    <w:p>
      <w:pPr/>
      <w:r>
        <w:t>2. 提升驗光人員角色：導入校園屈光篩查，及早發現遠視儲備不足的高風險學童。</w:t>
      </w:r>
    </w:p>
    <w:p>
      <w:pPr/>
      <w:r>
        <w:t>3. 醫視分流模式：建立「眼科診治疾患、驗光管理屈光」之專業分工體系。</w:t>
      </w:r>
    </w:p>
    <w:p>
      <w:pPr/>
      <w:r>
        <w:t>【三位一體政策建議】</w:t>
      </w:r>
    </w:p>
    <w:p>
      <w:pPr/>
      <w:r>
        <w:t>1. 監測體系化：建立遠視儲備數位監測，防治點前移至 3 歲。</w:t>
      </w:r>
    </w:p>
    <w:p>
      <w:pPr/>
      <w:r>
        <w:t>2. 資源分流化：確立「眼科診治疾患、驗光管理屈光」之分工模式。</w:t>
      </w:r>
    </w:p>
    <w:p>
      <w:pPr/>
      <w:r>
        <w:t>3. 環境政策化：將「下課淨空教室」與「每日戶外 2 小時」納入行政評鑑。</w:t>
      </w:r>
    </w:p>
    <w:p>
      <w:pPr/>
      <w:r>
        <w:t>本手冊結合目鏡大叔部落格實證數據，旨在推動更精準之視力防治。</w:t>
      </w:r>
    </w:p>
  </w:body>
</w:document>
</file>